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ind w:firstLine="482" w:firstLineChars="200"/>
        <w:rPr>
          <w:rFonts w:ascii="宋体"/>
          <w:b/>
          <w:bCs/>
          <w:sz w:val="24"/>
          <w:szCs w:val="24"/>
        </w:rPr>
      </w:pPr>
      <w:r>
        <w:rPr>
          <w:rFonts w:hint="eastAsia" w:ascii="宋体" w:hAnsi="宋体" w:cs="宋体"/>
          <w:b/>
          <w:bCs/>
          <w:sz w:val="24"/>
          <w:szCs w:val="24"/>
        </w:rPr>
        <w:t>项目名称：重咨集团网络与信息安全技术服务采购</w:t>
      </w:r>
    </w:p>
    <w:p>
      <w:pPr>
        <w:autoSpaceDE w:val="0"/>
        <w:autoSpaceDN w:val="0"/>
        <w:adjustRightInd w:val="0"/>
        <w:snapToGrid w:val="0"/>
        <w:spacing w:line="360" w:lineRule="auto"/>
        <w:ind w:firstLine="482" w:firstLineChars="200"/>
        <w:rPr>
          <w:rFonts w:ascii="宋体"/>
          <w:b/>
          <w:bCs/>
          <w:sz w:val="24"/>
          <w:szCs w:val="24"/>
        </w:rPr>
      </w:pPr>
      <w:r>
        <w:rPr>
          <w:rFonts w:hint="eastAsia" w:ascii="宋体" w:hAnsi="宋体" w:cs="宋体"/>
          <w:b/>
          <w:bCs/>
          <w:sz w:val="24"/>
          <w:szCs w:val="24"/>
        </w:rPr>
        <w:t>项目编号：SFG2400790266A</w:t>
      </w:r>
      <w:bookmarkStart w:id="67" w:name="_GoBack"/>
      <w:bookmarkEnd w:id="67"/>
    </w:p>
    <w:p>
      <w:pPr>
        <w:widowControl/>
        <w:spacing w:line="360" w:lineRule="auto"/>
        <w:ind w:firstLine="675" w:firstLineChars="224"/>
        <w:jc w:val="center"/>
        <w:rPr>
          <w:rFonts w:ascii="宋体"/>
          <w:b/>
          <w:bCs/>
          <w:sz w:val="30"/>
          <w:szCs w:val="30"/>
        </w:rPr>
      </w:pPr>
    </w:p>
    <w:p>
      <w:pPr>
        <w:widowControl/>
        <w:spacing w:line="360" w:lineRule="auto"/>
        <w:ind w:firstLine="675" w:firstLineChars="224"/>
        <w:jc w:val="center"/>
        <w:rPr>
          <w:rFonts w:ascii="宋体"/>
          <w:b/>
          <w:bCs/>
          <w:sz w:val="30"/>
          <w:szCs w:val="30"/>
        </w:rPr>
      </w:pPr>
    </w:p>
    <w:p>
      <w:pPr>
        <w:widowControl/>
        <w:spacing w:line="360" w:lineRule="auto"/>
        <w:ind w:firstLine="675" w:firstLineChars="224"/>
        <w:jc w:val="center"/>
        <w:rPr>
          <w:rFonts w:ascii="宋体"/>
          <w:b/>
          <w:bCs/>
          <w:sz w:val="30"/>
          <w:szCs w:val="30"/>
        </w:rPr>
      </w:pPr>
    </w:p>
    <w:p>
      <w:pPr>
        <w:widowControl/>
        <w:spacing w:line="360" w:lineRule="auto"/>
        <w:ind w:firstLine="675" w:firstLineChars="224"/>
        <w:jc w:val="center"/>
        <w:rPr>
          <w:rFonts w:ascii="宋体"/>
          <w:b/>
          <w:bCs/>
          <w:sz w:val="30"/>
          <w:szCs w:val="30"/>
        </w:rPr>
      </w:pPr>
    </w:p>
    <w:p>
      <w:pPr>
        <w:widowControl/>
        <w:spacing w:line="360" w:lineRule="auto"/>
        <w:ind w:firstLine="675" w:firstLineChars="224"/>
        <w:jc w:val="center"/>
        <w:rPr>
          <w:rFonts w:ascii="宋体"/>
          <w:b/>
          <w:bCs/>
          <w:sz w:val="30"/>
          <w:szCs w:val="30"/>
        </w:rPr>
      </w:pPr>
    </w:p>
    <w:p>
      <w:pPr>
        <w:widowControl/>
        <w:spacing w:line="360" w:lineRule="auto"/>
        <w:jc w:val="center"/>
        <w:rPr>
          <w:rFonts w:ascii="宋体"/>
          <w:kern w:val="0"/>
          <w:sz w:val="44"/>
          <w:szCs w:val="44"/>
        </w:rPr>
      </w:pPr>
      <w:r>
        <w:rPr>
          <w:rFonts w:hint="eastAsia" w:ascii="宋体" w:hAnsi="宋体" w:cs="宋体"/>
          <w:b/>
          <w:bCs/>
          <w:sz w:val="44"/>
          <w:szCs w:val="44"/>
        </w:rPr>
        <w:t>竞争性比选文件</w:t>
      </w:r>
    </w:p>
    <w:p>
      <w:pPr>
        <w:spacing w:line="360" w:lineRule="auto"/>
        <w:ind w:firstLine="672" w:firstLineChars="224"/>
        <w:rPr>
          <w:rFonts w:ascii="宋体"/>
          <w:sz w:val="30"/>
          <w:szCs w:val="30"/>
        </w:rPr>
      </w:pPr>
    </w:p>
    <w:p>
      <w:pPr>
        <w:spacing w:line="360" w:lineRule="auto"/>
        <w:ind w:firstLine="672" w:firstLineChars="224"/>
        <w:jc w:val="center"/>
        <w:rPr>
          <w:rFonts w:ascii="宋体"/>
          <w:sz w:val="30"/>
          <w:szCs w:val="30"/>
        </w:rPr>
      </w:pPr>
      <w:r>
        <w:rPr>
          <w:rFonts w:hint="eastAsia" w:ascii="宋体"/>
          <w:sz w:val="30"/>
          <w:szCs w:val="30"/>
        </w:rPr>
        <w:drawing>
          <wp:inline distT="0" distB="0" distL="114300" distR="114300">
            <wp:extent cx="1604645" cy="972820"/>
            <wp:effectExtent l="0" t="0" r="14605" b="17780"/>
            <wp:docPr id="5" name="图片 5" descr="重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重咨LOGO"/>
                    <pic:cNvPicPr>
                      <a:picLocks noChangeAspect="1"/>
                    </pic:cNvPicPr>
                  </pic:nvPicPr>
                  <pic:blipFill>
                    <a:blip r:embed="rId8"/>
                    <a:stretch>
                      <a:fillRect/>
                    </a:stretch>
                  </pic:blipFill>
                  <pic:spPr>
                    <a:xfrm>
                      <a:off x="0" y="0"/>
                      <a:ext cx="1604645" cy="972820"/>
                    </a:xfrm>
                    <a:prstGeom prst="rect">
                      <a:avLst/>
                    </a:prstGeom>
                  </pic:spPr>
                </pic:pic>
              </a:graphicData>
            </a:graphic>
          </wp:inline>
        </w:drawing>
      </w:r>
    </w:p>
    <w:p>
      <w:pPr>
        <w:spacing w:line="360" w:lineRule="auto"/>
        <w:ind w:firstLine="672" w:firstLineChars="224"/>
        <w:rPr>
          <w:rFonts w:ascii="宋体"/>
          <w:sz w:val="30"/>
          <w:szCs w:val="30"/>
        </w:rPr>
      </w:pPr>
    </w:p>
    <w:p>
      <w:pPr>
        <w:spacing w:line="360" w:lineRule="auto"/>
        <w:rPr>
          <w:rFonts w:ascii="宋体"/>
          <w:sz w:val="30"/>
          <w:szCs w:val="30"/>
        </w:rPr>
      </w:pPr>
    </w:p>
    <w:p>
      <w:pPr>
        <w:spacing w:line="360" w:lineRule="auto"/>
        <w:rPr>
          <w:rFonts w:ascii="宋体"/>
          <w:sz w:val="30"/>
          <w:szCs w:val="30"/>
        </w:rPr>
      </w:pPr>
    </w:p>
    <w:p>
      <w:pPr>
        <w:spacing w:line="360" w:lineRule="auto"/>
        <w:ind w:left="-359" w:leftChars="-171"/>
        <w:rPr>
          <w:rFonts w:ascii="宋体"/>
          <w:b/>
          <w:bCs/>
          <w:sz w:val="30"/>
          <w:szCs w:val="30"/>
        </w:rPr>
      </w:pPr>
    </w:p>
    <w:p>
      <w:pPr>
        <w:spacing w:line="360" w:lineRule="auto"/>
        <w:ind w:left="-359" w:leftChars="-171"/>
        <w:rPr>
          <w:rFonts w:ascii="宋体"/>
          <w:b/>
          <w:bCs/>
          <w:sz w:val="30"/>
          <w:szCs w:val="30"/>
        </w:rPr>
      </w:pPr>
    </w:p>
    <w:p>
      <w:pPr>
        <w:spacing w:line="360" w:lineRule="auto"/>
        <w:ind w:left="-359" w:leftChars="-171" w:firstLine="1678" w:firstLineChars="597"/>
        <w:rPr>
          <w:rFonts w:ascii="宋体" w:hAnsi="宋体" w:cs="宋体"/>
          <w:b/>
          <w:bCs/>
          <w:sz w:val="28"/>
          <w:szCs w:val="28"/>
          <w:u w:val="single"/>
        </w:rPr>
      </w:pPr>
      <w:r>
        <w:rPr>
          <w:rFonts w:hint="eastAsia" w:ascii="宋体" w:hAnsi="宋体" w:cs="宋体"/>
          <w:b/>
          <w:bCs/>
          <w:sz w:val="28"/>
          <w:szCs w:val="28"/>
        </w:rPr>
        <w:t>项 目 业 主：</w:t>
      </w:r>
      <w:r>
        <w:rPr>
          <w:rFonts w:hint="eastAsia" w:ascii="宋体" w:hAnsi="宋体" w:cs="宋体"/>
          <w:b/>
          <w:bCs/>
          <w:sz w:val="28"/>
          <w:szCs w:val="28"/>
          <w:u w:val="single"/>
        </w:rPr>
        <w:t>重庆国际投资咨询集团有限公司</w:t>
      </w:r>
    </w:p>
    <w:p>
      <w:pPr>
        <w:spacing w:line="360" w:lineRule="auto"/>
        <w:ind w:left="-359" w:leftChars="-171" w:firstLine="1678" w:firstLineChars="597"/>
        <w:rPr>
          <w:rFonts w:ascii="宋体"/>
          <w:b/>
          <w:bCs/>
          <w:sz w:val="28"/>
          <w:szCs w:val="28"/>
          <w:u w:val="single"/>
        </w:rPr>
      </w:pPr>
      <w:r>
        <w:rPr>
          <w:rFonts w:hint="eastAsia" w:ascii="宋体" w:hAnsi="宋体" w:cs="宋体"/>
          <w:b/>
          <w:bCs/>
          <w:sz w:val="28"/>
          <w:szCs w:val="28"/>
        </w:rPr>
        <w:t>代 理 机 构：</w:t>
      </w:r>
      <w:r>
        <w:rPr>
          <w:rFonts w:hint="eastAsia" w:ascii="宋体" w:hAnsi="宋体" w:cs="宋体"/>
          <w:b/>
          <w:bCs/>
          <w:sz w:val="28"/>
          <w:szCs w:val="28"/>
          <w:u w:val="single"/>
        </w:rPr>
        <w:t>重庆招标采购（集团）有限责任公司</w:t>
      </w:r>
    </w:p>
    <w:p>
      <w:pPr>
        <w:spacing w:line="360" w:lineRule="auto"/>
        <w:ind w:firstLine="716" w:firstLineChars="224"/>
        <w:jc w:val="center"/>
        <w:rPr>
          <w:rFonts w:ascii="宋体"/>
          <w:sz w:val="32"/>
          <w:szCs w:val="32"/>
        </w:rPr>
      </w:pPr>
    </w:p>
    <w:p>
      <w:pPr>
        <w:spacing w:line="360" w:lineRule="auto"/>
        <w:jc w:val="center"/>
        <w:rPr>
          <w:rFonts w:ascii="宋体" w:hAnsi="宋体" w:cs="宋体"/>
          <w:b/>
          <w:bCs/>
          <w:sz w:val="32"/>
          <w:szCs w:val="32"/>
        </w:rPr>
      </w:pPr>
      <w:r>
        <w:rPr>
          <w:rFonts w:hint="eastAsia" w:ascii="宋体" w:hAnsi="宋体" w:cs="宋体"/>
          <w:b/>
          <w:bCs/>
          <w:sz w:val="32"/>
          <w:szCs w:val="32"/>
        </w:rPr>
        <w:t>二</w:t>
      </w:r>
      <w:r>
        <w:rPr>
          <w:rFonts w:ascii="宋体" w:cs="宋体"/>
          <w:b/>
          <w:bCs/>
          <w:sz w:val="32"/>
          <w:szCs w:val="32"/>
        </w:rPr>
        <w:t>0</w:t>
      </w:r>
      <w:r>
        <w:rPr>
          <w:rFonts w:hint="eastAsia" w:ascii="宋体" w:hAnsi="宋体" w:cs="宋体"/>
          <w:b/>
          <w:bCs/>
          <w:sz w:val="32"/>
          <w:szCs w:val="32"/>
        </w:rPr>
        <w:t>二四年三月</w:t>
      </w:r>
      <w:r>
        <w:rPr>
          <w:rFonts w:ascii="宋体" w:hAnsi="宋体" w:cs="宋体"/>
          <w:b/>
          <w:bCs/>
          <w:sz w:val="32"/>
          <w:szCs w:val="32"/>
        </w:rPr>
        <w:br w:type="page"/>
      </w:r>
    </w:p>
    <w:p>
      <w:pPr>
        <w:spacing w:line="360" w:lineRule="auto"/>
        <w:outlineLvl w:val="0"/>
        <w:rPr>
          <w:rFonts w:ascii="宋体"/>
          <w:b/>
          <w:bCs/>
          <w:sz w:val="28"/>
          <w:szCs w:val="28"/>
        </w:rPr>
      </w:pPr>
    </w:p>
    <w:p>
      <w:pPr>
        <w:spacing w:line="360" w:lineRule="auto"/>
        <w:jc w:val="center"/>
      </w:pPr>
      <w:r>
        <w:rPr>
          <w:rFonts w:hint="eastAsia" w:ascii="宋体" w:hAnsi="宋体" w:cs="宋体"/>
          <w:b/>
          <w:bCs/>
        </w:rPr>
        <w:t>目      录</w:t>
      </w:r>
      <w:r>
        <w:fldChar w:fldCharType="begin"/>
      </w:r>
      <w:r>
        <w:instrText xml:space="preserve">TOC \o "1-2" \h \u </w:instrText>
      </w:r>
      <w:r>
        <w:fldChar w:fldCharType="separate"/>
      </w:r>
    </w:p>
    <w:p>
      <w:pPr>
        <w:pStyle w:val="39"/>
        <w:tabs>
          <w:tab w:val="right" w:leader="dot" w:pos="9600"/>
        </w:tabs>
        <w:spacing w:line="360" w:lineRule="auto"/>
        <w:rPr>
          <w:rFonts w:asciiTheme="minorHAnsi" w:hAnsiTheme="minorHAnsi" w:eastAsiaTheme="minorEastAsia" w:cstheme="minorBidi"/>
          <w:b/>
          <w:bCs/>
          <w:sz w:val="24"/>
          <w:szCs w:val="28"/>
        </w:rPr>
      </w:pPr>
      <w:r>
        <w:fldChar w:fldCharType="begin"/>
      </w:r>
      <w:r>
        <w:instrText xml:space="preserve"> HYPERLINK \l "_Toc120633463" </w:instrText>
      </w:r>
      <w:r>
        <w:fldChar w:fldCharType="separate"/>
      </w:r>
      <w:r>
        <w:rPr>
          <w:rStyle w:val="32"/>
          <w:rFonts w:ascii="宋体" w:hAnsi="宋体" w:cs="宋体"/>
          <w:b/>
          <w:bCs/>
          <w:sz w:val="24"/>
          <w:szCs w:val="24"/>
        </w:rPr>
        <w:t>第一部分  比选公告</w:t>
      </w:r>
      <w:r>
        <w:rPr>
          <w:b/>
          <w:bCs/>
          <w:sz w:val="24"/>
          <w:szCs w:val="24"/>
        </w:rPr>
        <w:tab/>
      </w:r>
      <w:r>
        <w:rPr>
          <w:b/>
          <w:bCs/>
          <w:sz w:val="24"/>
          <w:szCs w:val="24"/>
        </w:rPr>
        <w:fldChar w:fldCharType="begin"/>
      </w:r>
      <w:r>
        <w:rPr>
          <w:b/>
          <w:bCs/>
          <w:sz w:val="24"/>
          <w:szCs w:val="24"/>
        </w:rPr>
        <w:instrText xml:space="preserve"> PAGEREF _Toc120633463 \h </w:instrText>
      </w:r>
      <w:r>
        <w:rPr>
          <w:b/>
          <w:bCs/>
          <w:sz w:val="24"/>
          <w:szCs w:val="24"/>
        </w:rPr>
        <w:fldChar w:fldCharType="separate"/>
      </w:r>
      <w:r>
        <w:rPr>
          <w:b/>
          <w:bCs/>
          <w:sz w:val="24"/>
          <w:szCs w:val="24"/>
        </w:rPr>
        <w:t>1</w:t>
      </w:r>
      <w:r>
        <w:rPr>
          <w:b/>
          <w:bCs/>
          <w:sz w:val="24"/>
          <w:szCs w:val="24"/>
        </w:rPr>
        <w:fldChar w:fldCharType="end"/>
      </w:r>
      <w:r>
        <w:rPr>
          <w:b/>
          <w:bCs/>
          <w:sz w:val="24"/>
          <w:szCs w:val="24"/>
        </w:rPr>
        <w:fldChar w:fldCharType="end"/>
      </w:r>
    </w:p>
    <w:p>
      <w:pPr>
        <w:pStyle w:val="39"/>
        <w:tabs>
          <w:tab w:val="right" w:leader="dot" w:pos="9600"/>
        </w:tabs>
        <w:spacing w:line="360" w:lineRule="auto"/>
        <w:rPr>
          <w:rFonts w:asciiTheme="minorHAnsi" w:hAnsiTheme="minorHAnsi" w:eastAsiaTheme="minorEastAsia" w:cstheme="minorBidi"/>
          <w:b/>
          <w:bCs/>
          <w:sz w:val="24"/>
          <w:szCs w:val="28"/>
        </w:rPr>
      </w:pPr>
      <w:r>
        <w:fldChar w:fldCharType="begin"/>
      </w:r>
      <w:r>
        <w:instrText xml:space="preserve"> HYPERLINK \l "_Toc120633465" </w:instrText>
      </w:r>
      <w:r>
        <w:fldChar w:fldCharType="separate"/>
      </w:r>
      <w:r>
        <w:rPr>
          <w:rStyle w:val="32"/>
          <w:rFonts w:ascii="宋体" w:hAnsi="宋体" w:cs="宋体"/>
          <w:b/>
          <w:bCs/>
          <w:sz w:val="24"/>
          <w:szCs w:val="24"/>
        </w:rPr>
        <w:t>第二部分  比选须知</w:t>
      </w:r>
      <w:r>
        <w:rPr>
          <w:b/>
          <w:bCs/>
          <w:sz w:val="24"/>
          <w:szCs w:val="24"/>
        </w:rPr>
        <w:tab/>
      </w:r>
      <w:r>
        <w:rPr>
          <w:b/>
          <w:bCs/>
          <w:sz w:val="24"/>
          <w:szCs w:val="24"/>
        </w:rPr>
        <w:fldChar w:fldCharType="begin"/>
      </w:r>
      <w:r>
        <w:rPr>
          <w:b/>
          <w:bCs/>
          <w:sz w:val="24"/>
          <w:szCs w:val="24"/>
        </w:rPr>
        <w:instrText xml:space="preserve"> PAGEREF _Toc120633465 \h </w:instrText>
      </w:r>
      <w:r>
        <w:rPr>
          <w:b/>
          <w:bCs/>
          <w:sz w:val="24"/>
          <w:szCs w:val="24"/>
        </w:rPr>
        <w:fldChar w:fldCharType="separate"/>
      </w:r>
      <w:r>
        <w:rPr>
          <w:b/>
          <w:bCs/>
          <w:sz w:val="24"/>
          <w:szCs w:val="24"/>
        </w:rPr>
        <w:t>3</w:t>
      </w:r>
      <w:r>
        <w:rPr>
          <w:b/>
          <w:bCs/>
          <w:sz w:val="24"/>
          <w:szCs w:val="24"/>
        </w:rPr>
        <w:fldChar w:fldCharType="end"/>
      </w:r>
      <w:r>
        <w:rPr>
          <w:b/>
          <w:bCs/>
          <w:sz w:val="24"/>
          <w:szCs w:val="24"/>
        </w:rPr>
        <w:fldChar w:fldCharType="end"/>
      </w:r>
    </w:p>
    <w:p>
      <w:pPr>
        <w:pStyle w:val="39"/>
        <w:tabs>
          <w:tab w:val="right" w:leader="dot" w:pos="9600"/>
        </w:tabs>
        <w:spacing w:line="360" w:lineRule="auto"/>
        <w:rPr>
          <w:rFonts w:asciiTheme="minorHAnsi" w:hAnsiTheme="minorHAnsi" w:eastAsiaTheme="minorEastAsia" w:cstheme="minorBidi"/>
          <w:b/>
          <w:bCs/>
          <w:sz w:val="24"/>
          <w:szCs w:val="28"/>
        </w:rPr>
      </w:pPr>
      <w:r>
        <w:fldChar w:fldCharType="begin"/>
      </w:r>
      <w:r>
        <w:instrText xml:space="preserve"> HYPERLINK \l "_Toc120633479" </w:instrText>
      </w:r>
      <w:r>
        <w:fldChar w:fldCharType="separate"/>
      </w:r>
      <w:r>
        <w:rPr>
          <w:rStyle w:val="32"/>
          <w:rFonts w:ascii="宋体" w:hAnsi="宋体" w:cs="宋体"/>
          <w:b/>
          <w:bCs/>
          <w:sz w:val="24"/>
          <w:szCs w:val="24"/>
        </w:rPr>
        <w:t>第三部分  比选申请文件格式</w:t>
      </w:r>
      <w:r>
        <w:rPr>
          <w:b/>
          <w:bCs/>
          <w:sz w:val="24"/>
          <w:szCs w:val="24"/>
        </w:rPr>
        <w:tab/>
      </w:r>
      <w:r>
        <w:rPr>
          <w:b/>
          <w:bCs/>
          <w:sz w:val="24"/>
          <w:szCs w:val="24"/>
        </w:rPr>
        <w:fldChar w:fldCharType="begin"/>
      </w:r>
      <w:r>
        <w:rPr>
          <w:b/>
          <w:bCs/>
          <w:sz w:val="24"/>
          <w:szCs w:val="24"/>
        </w:rPr>
        <w:instrText xml:space="preserve"> PAGEREF _Toc120633479 \h </w:instrText>
      </w:r>
      <w:r>
        <w:rPr>
          <w:b/>
          <w:bCs/>
          <w:sz w:val="24"/>
          <w:szCs w:val="24"/>
        </w:rPr>
        <w:fldChar w:fldCharType="separate"/>
      </w:r>
      <w:r>
        <w:rPr>
          <w:b/>
          <w:bCs/>
          <w:sz w:val="24"/>
          <w:szCs w:val="24"/>
        </w:rPr>
        <w:t>7</w:t>
      </w:r>
      <w:r>
        <w:rPr>
          <w:b/>
          <w:bCs/>
          <w:sz w:val="24"/>
          <w:szCs w:val="24"/>
        </w:rPr>
        <w:fldChar w:fldCharType="end"/>
      </w:r>
      <w:r>
        <w:rPr>
          <w:b/>
          <w:bCs/>
          <w:sz w:val="24"/>
          <w:szCs w:val="24"/>
        </w:rPr>
        <w:fldChar w:fldCharType="end"/>
      </w:r>
    </w:p>
    <w:p>
      <w:pPr>
        <w:pStyle w:val="39"/>
        <w:tabs>
          <w:tab w:val="right" w:leader="dot" w:pos="9600"/>
        </w:tabs>
        <w:spacing w:line="360" w:lineRule="auto"/>
        <w:rPr>
          <w:rFonts w:asciiTheme="minorHAnsi" w:hAnsiTheme="minorHAnsi" w:eastAsiaTheme="minorEastAsia" w:cstheme="minorBidi"/>
          <w:b/>
          <w:bCs/>
          <w:sz w:val="24"/>
          <w:szCs w:val="28"/>
        </w:rPr>
      </w:pPr>
      <w:r>
        <w:fldChar w:fldCharType="begin"/>
      </w:r>
      <w:r>
        <w:instrText xml:space="preserve"> HYPERLINK \l "_Toc120633490" </w:instrText>
      </w:r>
      <w:r>
        <w:fldChar w:fldCharType="separate"/>
      </w:r>
      <w:r>
        <w:rPr>
          <w:rStyle w:val="32"/>
          <w:rFonts w:ascii="宋体" w:hAnsi="宋体" w:cs="宋体"/>
          <w:b/>
          <w:bCs/>
          <w:sz w:val="24"/>
          <w:szCs w:val="24"/>
        </w:rPr>
        <w:t xml:space="preserve">第四部分 </w:t>
      </w:r>
      <w:r>
        <w:rPr>
          <w:rStyle w:val="32"/>
          <w:rFonts w:hint="eastAsia" w:ascii="宋体" w:hAnsi="宋体" w:cs="宋体"/>
          <w:b/>
          <w:bCs/>
          <w:sz w:val="24"/>
          <w:szCs w:val="24"/>
        </w:rPr>
        <w:t xml:space="preserve"> </w:t>
      </w:r>
      <w:r>
        <w:rPr>
          <w:rStyle w:val="32"/>
          <w:rFonts w:ascii="宋体" w:hAnsi="宋体" w:cs="宋体"/>
          <w:b/>
          <w:bCs/>
          <w:sz w:val="24"/>
          <w:szCs w:val="24"/>
        </w:rPr>
        <w:t>合同条款</w:t>
      </w:r>
      <w:r>
        <w:rPr>
          <w:b/>
          <w:bCs/>
          <w:sz w:val="24"/>
          <w:szCs w:val="24"/>
        </w:rPr>
        <w:tab/>
      </w:r>
      <w:r>
        <w:rPr>
          <w:b/>
          <w:bCs/>
          <w:sz w:val="24"/>
          <w:szCs w:val="24"/>
        </w:rPr>
        <w:fldChar w:fldCharType="begin"/>
      </w:r>
      <w:r>
        <w:rPr>
          <w:b/>
          <w:bCs/>
          <w:sz w:val="24"/>
          <w:szCs w:val="24"/>
        </w:rPr>
        <w:instrText xml:space="preserve"> PAGEREF _Toc120633490 \h </w:instrText>
      </w:r>
      <w:r>
        <w:rPr>
          <w:b/>
          <w:bCs/>
          <w:sz w:val="24"/>
          <w:szCs w:val="24"/>
        </w:rPr>
        <w:fldChar w:fldCharType="separate"/>
      </w:r>
      <w:r>
        <w:rPr>
          <w:b/>
          <w:bCs/>
          <w:sz w:val="24"/>
          <w:szCs w:val="24"/>
        </w:rPr>
        <w:t>38</w:t>
      </w:r>
      <w:r>
        <w:rPr>
          <w:b/>
          <w:bCs/>
          <w:sz w:val="24"/>
          <w:szCs w:val="24"/>
        </w:rPr>
        <w:fldChar w:fldCharType="end"/>
      </w:r>
      <w:r>
        <w:rPr>
          <w:b/>
          <w:bCs/>
          <w:sz w:val="24"/>
          <w:szCs w:val="24"/>
        </w:rPr>
        <w:fldChar w:fldCharType="end"/>
      </w:r>
    </w:p>
    <w:p>
      <w:pPr>
        <w:pStyle w:val="53"/>
        <w:tabs>
          <w:tab w:val="right" w:leader="dot" w:pos="9610"/>
        </w:tabs>
        <w:spacing w:line="360" w:lineRule="auto"/>
      </w:pPr>
      <w:r>
        <w:fldChar w:fldCharType="end"/>
      </w:r>
    </w:p>
    <w:p>
      <w:pPr>
        <w:spacing w:line="360" w:lineRule="auto"/>
        <w:jc w:val="center"/>
        <w:outlineLvl w:val="0"/>
        <w:rPr>
          <w:rFonts w:ascii="宋体"/>
          <w:b/>
          <w:bCs/>
          <w:sz w:val="28"/>
          <w:szCs w:val="28"/>
        </w:rPr>
      </w:pPr>
    </w:p>
    <w:p>
      <w:pPr>
        <w:spacing w:line="360" w:lineRule="auto"/>
        <w:jc w:val="center"/>
        <w:outlineLvl w:val="0"/>
        <w:rPr>
          <w:rFonts w:ascii="宋体"/>
          <w:b/>
          <w:bCs/>
          <w:sz w:val="28"/>
          <w:szCs w:val="28"/>
        </w:rPr>
      </w:pPr>
    </w:p>
    <w:p>
      <w:pPr>
        <w:spacing w:line="360" w:lineRule="auto"/>
        <w:jc w:val="center"/>
        <w:outlineLvl w:val="0"/>
        <w:rPr>
          <w:rFonts w:ascii="宋体"/>
          <w:b/>
          <w:bCs/>
          <w:sz w:val="28"/>
          <w:szCs w:val="28"/>
        </w:rPr>
      </w:pPr>
    </w:p>
    <w:p>
      <w:pPr>
        <w:spacing w:line="360" w:lineRule="auto"/>
        <w:jc w:val="center"/>
        <w:outlineLvl w:val="0"/>
        <w:rPr>
          <w:rFonts w:ascii="宋体"/>
          <w:b/>
          <w:bCs/>
          <w:sz w:val="28"/>
          <w:szCs w:val="28"/>
        </w:rPr>
      </w:pPr>
    </w:p>
    <w:p>
      <w:pPr>
        <w:spacing w:line="360" w:lineRule="auto"/>
        <w:jc w:val="center"/>
        <w:outlineLvl w:val="0"/>
        <w:rPr>
          <w:rFonts w:ascii="宋体"/>
          <w:b/>
          <w:bCs/>
          <w:sz w:val="28"/>
          <w:szCs w:val="28"/>
        </w:rPr>
      </w:pPr>
    </w:p>
    <w:p>
      <w:pPr>
        <w:spacing w:line="360" w:lineRule="auto"/>
        <w:jc w:val="center"/>
        <w:outlineLvl w:val="0"/>
        <w:rPr>
          <w:rFonts w:ascii="宋体"/>
          <w:b/>
          <w:bCs/>
          <w:sz w:val="28"/>
          <w:szCs w:val="28"/>
        </w:rPr>
      </w:pPr>
    </w:p>
    <w:p>
      <w:pPr>
        <w:spacing w:line="360" w:lineRule="auto"/>
        <w:jc w:val="center"/>
        <w:outlineLvl w:val="0"/>
        <w:rPr>
          <w:rFonts w:ascii="宋体"/>
          <w:b/>
          <w:bCs/>
          <w:sz w:val="28"/>
          <w:szCs w:val="28"/>
        </w:rPr>
      </w:pPr>
    </w:p>
    <w:p>
      <w:pPr>
        <w:spacing w:line="360" w:lineRule="auto"/>
        <w:jc w:val="center"/>
        <w:outlineLvl w:val="0"/>
        <w:rPr>
          <w:rFonts w:ascii="宋体"/>
          <w:b/>
          <w:bCs/>
          <w:sz w:val="28"/>
          <w:szCs w:val="28"/>
        </w:rPr>
      </w:pPr>
    </w:p>
    <w:p>
      <w:pPr>
        <w:spacing w:line="360" w:lineRule="auto"/>
        <w:jc w:val="center"/>
        <w:outlineLvl w:val="0"/>
        <w:rPr>
          <w:rFonts w:ascii="宋体"/>
          <w:b/>
          <w:bCs/>
          <w:sz w:val="28"/>
          <w:szCs w:val="28"/>
        </w:rPr>
      </w:pPr>
    </w:p>
    <w:p>
      <w:pPr>
        <w:spacing w:line="360" w:lineRule="auto"/>
        <w:jc w:val="center"/>
        <w:outlineLvl w:val="0"/>
        <w:rPr>
          <w:rFonts w:ascii="宋体"/>
          <w:b/>
          <w:bCs/>
          <w:sz w:val="28"/>
          <w:szCs w:val="28"/>
        </w:rPr>
      </w:pPr>
    </w:p>
    <w:p>
      <w:pPr>
        <w:spacing w:line="360" w:lineRule="auto"/>
        <w:jc w:val="center"/>
        <w:outlineLvl w:val="0"/>
        <w:rPr>
          <w:rFonts w:ascii="宋体"/>
          <w:b/>
          <w:bCs/>
          <w:sz w:val="28"/>
          <w:szCs w:val="28"/>
        </w:rPr>
      </w:pPr>
    </w:p>
    <w:p>
      <w:pPr>
        <w:spacing w:line="360" w:lineRule="auto"/>
        <w:jc w:val="center"/>
        <w:outlineLvl w:val="0"/>
        <w:rPr>
          <w:rFonts w:ascii="宋体"/>
          <w:b/>
          <w:bCs/>
          <w:sz w:val="28"/>
          <w:szCs w:val="28"/>
        </w:rPr>
      </w:pPr>
    </w:p>
    <w:p>
      <w:pPr>
        <w:spacing w:line="360" w:lineRule="auto"/>
        <w:jc w:val="center"/>
        <w:outlineLvl w:val="0"/>
        <w:rPr>
          <w:rFonts w:ascii="宋体"/>
          <w:b/>
          <w:bCs/>
          <w:sz w:val="28"/>
          <w:szCs w:val="28"/>
        </w:rPr>
      </w:pPr>
    </w:p>
    <w:p>
      <w:pPr>
        <w:spacing w:line="360" w:lineRule="auto"/>
        <w:jc w:val="center"/>
        <w:outlineLvl w:val="0"/>
        <w:rPr>
          <w:rFonts w:ascii="宋体"/>
          <w:b/>
          <w:bCs/>
          <w:sz w:val="28"/>
          <w:szCs w:val="28"/>
        </w:rPr>
      </w:pPr>
    </w:p>
    <w:p>
      <w:pPr>
        <w:spacing w:line="360" w:lineRule="auto"/>
        <w:jc w:val="center"/>
        <w:outlineLvl w:val="0"/>
        <w:rPr>
          <w:rFonts w:ascii="宋体"/>
          <w:b/>
          <w:bCs/>
          <w:sz w:val="28"/>
          <w:szCs w:val="28"/>
        </w:rPr>
      </w:pPr>
    </w:p>
    <w:p>
      <w:pPr>
        <w:spacing w:line="360" w:lineRule="auto"/>
        <w:jc w:val="center"/>
        <w:outlineLvl w:val="0"/>
        <w:rPr>
          <w:rFonts w:ascii="宋体"/>
          <w:b/>
          <w:bCs/>
          <w:sz w:val="28"/>
          <w:szCs w:val="28"/>
        </w:rPr>
      </w:pPr>
    </w:p>
    <w:p>
      <w:pPr>
        <w:spacing w:line="360" w:lineRule="auto"/>
        <w:jc w:val="center"/>
        <w:outlineLvl w:val="0"/>
        <w:rPr>
          <w:rFonts w:ascii="宋体"/>
          <w:b/>
          <w:bCs/>
          <w:sz w:val="28"/>
          <w:szCs w:val="28"/>
        </w:rPr>
      </w:pPr>
    </w:p>
    <w:p>
      <w:pPr>
        <w:spacing w:line="360" w:lineRule="auto"/>
        <w:jc w:val="center"/>
        <w:outlineLvl w:val="0"/>
        <w:rPr>
          <w:rFonts w:ascii="宋体"/>
          <w:b/>
          <w:bCs/>
          <w:sz w:val="28"/>
          <w:szCs w:val="28"/>
        </w:rPr>
        <w:sectPr>
          <w:footerReference r:id="rId3" w:type="default"/>
          <w:pgSz w:w="11906" w:h="16838"/>
          <w:pgMar w:top="1276" w:right="1162" w:bottom="1135" w:left="1134" w:header="851" w:footer="992" w:gutter="0"/>
          <w:pgNumType w:start="1"/>
          <w:cols w:space="720" w:num="1"/>
          <w:docGrid w:type="lines" w:linePitch="312" w:charSpace="0"/>
        </w:sectPr>
      </w:pPr>
    </w:p>
    <w:p>
      <w:pPr>
        <w:spacing w:line="360" w:lineRule="auto"/>
        <w:outlineLvl w:val="0"/>
        <w:rPr>
          <w:rFonts w:ascii="宋体"/>
          <w:b/>
          <w:bCs/>
          <w:sz w:val="28"/>
          <w:szCs w:val="28"/>
        </w:rPr>
      </w:pPr>
    </w:p>
    <w:p>
      <w:pPr>
        <w:numPr>
          <w:ilvl w:val="0"/>
          <w:numId w:val="1"/>
        </w:numPr>
        <w:spacing w:line="360" w:lineRule="auto"/>
        <w:jc w:val="center"/>
        <w:outlineLvl w:val="0"/>
        <w:rPr>
          <w:rFonts w:ascii="宋体"/>
          <w:b/>
          <w:bCs/>
          <w:sz w:val="28"/>
          <w:szCs w:val="28"/>
        </w:rPr>
      </w:pPr>
      <w:bookmarkStart w:id="0" w:name="_Toc120633463"/>
      <w:r>
        <w:rPr>
          <w:rFonts w:hint="eastAsia" w:ascii="宋体" w:hAnsi="宋体" w:cs="宋体"/>
          <w:b/>
          <w:bCs/>
          <w:sz w:val="28"/>
          <w:szCs w:val="28"/>
        </w:rPr>
        <w:t xml:space="preserve"> </w:t>
      </w:r>
    </w:p>
    <w:p>
      <w:pPr>
        <w:spacing w:line="360" w:lineRule="auto"/>
        <w:jc w:val="center"/>
        <w:outlineLvl w:val="0"/>
        <w:rPr>
          <w:rFonts w:ascii="宋体"/>
          <w:b/>
          <w:bCs/>
          <w:sz w:val="28"/>
          <w:szCs w:val="28"/>
        </w:rPr>
      </w:pPr>
      <w:r>
        <w:rPr>
          <w:rFonts w:hint="eastAsia" w:ascii="宋体" w:hAnsi="宋体" w:cs="宋体"/>
          <w:b/>
          <w:bCs/>
          <w:sz w:val="28"/>
          <w:szCs w:val="28"/>
        </w:rPr>
        <w:t>重咨集团网络与信息安全技术服务采购 比选公告</w:t>
      </w:r>
      <w:bookmarkEnd w:id="0"/>
    </w:p>
    <w:p>
      <w:pPr>
        <w:pStyle w:val="5"/>
        <w:spacing w:before="156" w:after="156" w:line="360" w:lineRule="auto"/>
        <w:ind w:firstLine="420" w:firstLineChars="200"/>
        <w:rPr>
          <w:rFonts w:ascii="宋体"/>
          <w:sz w:val="24"/>
          <w:szCs w:val="24"/>
          <w:u w:val="single"/>
        </w:rPr>
      </w:pPr>
      <w:bookmarkStart w:id="1" w:name="_Toc21929"/>
      <w:bookmarkStart w:id="2" w:name="_Toc120633464"/>
      <w:r>
        <w:rPr>
          <w:rFonts w:hint="eastAsia" w:ascii="宋体" w:hAnsi="宋体" w:cs="宋体"/>
          <w:b w:val="0"/>
          <w:sz w:val="21"/>
          <w:szCs w:val="21"/>
        </w:rPr>
        <w:t>为规范招标行为，本着公开、公平、公正的原则，我司拟对</w:t>
      </w:r>
      <w:r>
        <w:rPr>
          <w:rFonts w:hint="eastAsia" w:ascii="宋体" w:hAnsi="宋体" w:cs="宋体"/>
          <w:b w:val="0"/>
          <w:sz w:val="21"/>
          <w:szCs w:val="21"/>
          <w:u w:val="single"/>
        </w:rPr>
        <w:t>重咨集团网络与信息安全技术服务采购（项目名称）</w:t>
      </w:r>
      <w:r>
        <w:rPr>
          <w:rFonts w:hint="eastAsia" w:ascii="宋体" w:hAnsi="宋体" w:cs="宋体"/>
          <w:b w:val="0"/>
          <w:sz w:val="21"/>
          <w:szCs w:val="21"/>
        </w:rPr>
        <w:t>竞选，资金来源：</w:t>
      </w:r>
      <w:r>
        <w:rPr>
          <w:rFonts w:hint="eastAsia" w:ascii="宋体" w:hAnsi="宋体" w:cs="宋体"/>
          <w:b w:val="0"/>
          <w:sz w:val="21"/>
          <w:szCs w:val="21"/>
          <w:u w:val="single"/>
        </w:rPr>
        <w:t>企业自筹</w:t>
      </w:r>
      <w:r>
        <w:rPr>
          <w:rFonts w:hint="eastAsia" w:ascii="宋体" w:hAnsi="宋体" w:cs="宋体"/>
          <w:b w:val="0"/>
          <w:sz w:val="21"/>
          <w:szCs w:val="21"/>
        </w:rPr>
        <w:t>，资金落实情况：</w:t>
      </w:r>
      <w:r>
        <w:rPr>
          <w:rFonts w:hint="eastAsia" w:ascii="宋体" w:hAnsi="宋体" w:cs="宋体"/>
          <w:b w:val="0"/>
          <w:sz w:val="21"/>
          <w:szCs w:val="21"/>
          <w:u w:val="single"/>
        </w:rPr>
        <w:t>已落实</w:t>
      </w:r>
      <w:r>
        <w:rPr>
          <w:rFonts w:hint="eastAsia" w:ascii="宋体" w:hAnsi="宋体" w:cs="宋体"/>
          <w:b w:val="0"/>
          <w:sz w:val="21"/>
          <w:szCs w:val="21"/>
        </w:rPr>
        <w:t>，将采用</w:t>
      </w:r>
      <w:r>
        <w:rPr>
          <w:rFonts w:hint="eastAsia" w:ascii="宋体" w:hAnsi="宋体" w:cs="宋体"/>
          <w:b w:val="0"/>
          <w:sz w:val="21"/>
          <w:szCs w:val="21"/>
          <w:u w:val="single"/>
        </w:rPr>
        <w:t>竞争性比选（公开）</w:t>
      </w:r>
      <w:r>
        <w:rPr>
          <w:rFonts w:hint="eastAsia" w:ascii="宋体" w:hAnsi="宋体" w:cs="宋体"/>
          <w:b w:val="0"/>
          <w:sz w:val="21"/>
          <w:szCs w:val="21"/>
        </w:rPr>
        <w:t>的方式择优选定服务单位。特邀请有兴趣且符合条件的潜在比选申请人参与竞选。</w:t>
      </w:r>
      <w:bookmarkEnd w:id="1"/>
      <w:bookmarkEnd w:id="2"/>
    </w:p>
    <w:p>
      <w:pPr>
        <w:tabs>
          <w:tab w:val="left" w:pos="1800"/>
        </w:tabs>
        <w:spacing w:line="360" w:lineRule="auto"/>
        <w:ind w:right="-874" w:rightChars="-416" w:firstLine="420" w:firstLineChars="200"/>
        <w:rPr>
          <w:rFonts w:ascii="宋体" w:hAnsi="宋体" w:cs="宋体"/>
        </w:rPr>
      </w:pPr>
      <w:r>
        <w:rPr>
          <w:rFonts w:hint="eastAsia" w:ascii="宋体" w:hAnsi="宋体" w:cs="宋体"/>
        </w:rPr>
        <w:t>1、项目名称：</w:t>
      </w:r>
      <w:r>
        <w:rPr>
          <w:rFonts w:hint="eastAsia" w:ascii="宋体" w:hAnsi="宋体" w:cs="宋体"/>
          <w:u w:val="single"/>
        </w:rPr>
        <w:t>重咨集团网络与信息安全技术服务采购</w:t>
      </w:r>
    </w:p>
    <w:p>
      <w:pPr>
        <w:tabs>
          <w:tab w:val="left" w:pos="1800"/>
        </w:tabs>
        <w:spacing w:line="360" w:lineRule="auto"/>
        <w:ind w:right="-874" w:rightChars="-416" w:firstLine="420" w:firstLineChars="200"/>
        <w:rPr>
          <w:rFonts w:ascii="宋体"/>
        </w:rPr>
      </w:pPr>
      <w:r>
        <w:rPr>
          <w:rFonts w:ascii="宋体" w:hAnsi="宋体" w:cs="宋体"/>
        </w:rPr>
        <w:t>2</w:t>
      </w:r>
      <w:r>
        <w:rPr>
          <w:rFonts w:hint="eastAsia" w:ascii="宋体" w:hAnsi="宋体" w:cs="宋体"/>
        </w:rPr>
        <w:t>、项目地址：</w:t>
      </w:r>
      <w:r>
        <w:rPr>
          <w:rFonts w:hint="eastAsia" w:ascii="宋体" w:hAnsi="宋体" w:cs="宋体"/>
          <w:u w:val="single"/>
        </w:rPr>
        <w:t xml:space="preserve">重庆市江北区五简路二号 </w:t>
      </w:r>
    </w:p>
    <w:p>
      <w:pPr>
        <w:adjustRightInd w:val="0"/>
        <w:snapToGrid w:val="0"/>
        <w:spacing w:line="360" w:lineRule="auto"/>
        <w:ind w:firstLine="420" w:firstLineChars="200"/>
        <w:rPr>
          <w:rFonts w:ascii="宋体" w:hAnsi="宋体" w:cs="宋体"/>
        </w:rPr>
      </w:pPr>
      <w:r>
        <w:rPr>
          <w:rFonts w:ascii="宋体" w:hAnsi="宋体" w:cs="宋体"/>
        </w:rPr>
        <w:t>3</w:t>
      </w:r>
      <w:r>
        <w:rPr>
          <w:rFonts w:hint="eastAsia" w:ascii="宋体" w:hAnsi="宋体" w:cs="宋体"/>
        </w:rPr>
        <w:t>、项目概况：</w:t>
      </w:r>
    </w:p>
    <w:p>
      <w:pPr>
        <w:adjustRightInd w:val="0"/>
        <w:snapToGrid w:val="0"/>
        <w:spacing w:line="360" w:lineRule="auto"/>
        <w:ind w:firstLine="420" w:firstLineChars="200"/>
        <w:rPr>
          <w:rFonts w:ascii="宋体" w:hAnsi="宋体" w:cs="宋体"/>
        </w:rPr>
      </w:pPr>
      <w:r>
        <w:rPr>
          <w:rFonts w:hint="eastAsia" w:ascii="宋体" w:hAnsi="宋体" w:cs="宋体"/>
        </w:rPr>
        <w:t>3.1、比选范围及内容：</w:t>
      </w:r>
    </w:p>
    <w:tbl>
      <w:tblPr>
        <w:tblStyle w:val="3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1511"/>
        <w:gridCol w:w="6414"/>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序号</w:t>
            </w:r>
          </w:p>
        </w:tc>
        <w:tc>
          <w:tcPr>
            <w:tcW w:w="769"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项目名称</w:t>
            </w:r>
          </w:p>
        </w:tc>
        <w:tc>
          <w:tcPr>
            <w:tcW w:w="3264"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服务内容</w:t>
            </w:r>
          </w:p>
        </w:tc>
        <w:tc>
          <w:tcPr>
            <w:tcW w:w="457"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数量/期限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1</w:t>
            </w:r>
          </w:p>
        </w:tc>
        <w:tc>
          <w:tcPr>
            <w:tcW w:w="769"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安全基础梳理和摸底★</w:t>
            </w:r>
          </w:p>
        </w:tc>
        <w:tc>
          <w:tcPr>
            <w:tcW w:w="3264" w:type="pct"/>
            <w:vAlign w:val="center"/>
          </w:tcPr>
          <w:p>
            <w:pPr>
              <w:adjustRightInd w:val="0"/>
              <w:snapToGrid w:val="0"/>
              <w:spacing w:before="187" w:after="187" w:line="400" w:lineRule="exact"/>
              <w:jc w:val="left"/>
              <w:rPr>
                <w:rFonts w:ascii="宋体" w:hAnsi="宋体" w:cs="宋体"/>
              </w:rPr>
            </w:pPr>
            <w:r>
              <w:rPr>
                <w:rFonts w:hint="eastAsia" w:ascii="宋体" w:hAnsi="宋体" w:cs="宋体"/>
              </w:rPr>
              <w:t>1、主要以管理和技术的手段，通过调研、上机查验等方式，摸清集团在管理制度和安全防护方面的现状、问题，并进行一次漏洞问题排查。</w:t>
            </w:r>
          </w:p>
          <w:p>
            <w:pPr>
              <w:adjustRightInd w:val="0"/>
              <w:snapToGrid w:val="0"/>
              <w:spacing w:before="187" w:after="187" w:line="400" w:lineRule="exact"/>
              <w:jc w:val="left"/>
              <w:rPr>
                <w:rFonts w:ascii="宋体" w:hAnsi="宋体" w:cs="宋体"/>
              </w:rPr>
            </w:pPr>
            <w:r>
              <w:rPr>
                <w:rFonts w:hint="eastAsia" w:ascii="宋体" w:hAnsi="宋体" w:cs="宋体"/>
              </w:rPr>
              <w:t>2、出具《重咨集团网络信息和数据安全管理制度清单》《重咨集团制度运行问题及差距清单》；《重咨集团信息化资产清单》《重咨集团应用系统清单》《重咨集团安全防护策略问题清单》；《漏洞扫描报告》、《基线核查报告》、《渗透测试报告》。</w:t>
            </w:r>
          </w:p>
        </w:tc>
        <w:tc>
          <w:tcPr>
            <w:tcW w:w="457"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2</w:t>
            </w:r>
          </w:p>
        </w:tc>
        <w:tc>
          <w:tcPr>
            <w:tcW w:w="769"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网络与信息安全风险评估★</w:t>
            </w:r>
          </w:p>
        </w:tc>
        <w:tc>
          <w:tcPr>
            <w:tcW w:w="3264" w:type="pct"/>
            <w:vAlign w:val="center"/>
          </w:tcPr>
          <w:p>
            <w:pPr>
              <w:adjustRightInd w:val="0"/>
              <w:snapToGrid w:val="0"/>
              <w:spacing w:before="187" w:after="187" w:line="400" w:lineRule="exact"/>
              <w:jc w:val="left"/>
              <w:rPr>
                <w:rFonts w:ascii="宋体" w:hAnsi="宋体" w:cs="宋体"/>
              </w:rPr>
            </w:pPr>
            <w:r>
              <w:rPr>
                <w:rFonts w:hint="eastAsia" w:ascii="宋体" w:hAnsi="宋体" w:cs="宋体"/>
              </w:rPr>
              <w:t>1、根据《中国人民共和国网络安全法》、等级保护制度要求，以及《信息安全技术 信息安全风险评估方法》（GB/T 20984-2022）等评估标准，对重咨集团进行包括物理安全、人员安全、管理安全、建设安全、运维安全、应用安全等的综合性安全风险评估，以识别集团自身在网络与信息安全管理、建设、运维、运营过程中的脆弱性及面临的风险，对风险进行定级并提出风险处理建议，协助重咨集团建立整改流程、跟踪机制，清晰掌握系统安全整改进度、效果、总体情况。</w:t>
            </w:r>
          </w:p>
          <w:p>
            <w:pPr>
              <w:adjustRightInd w:val="0"/>
              <w:snapToGrid w:val="0"/>
              <w:spacing w:before="187" w:after="187" w:line="400" w:lineRule="exact"/>
              <w:jc w:val="left"/>
              <w:rPr>
                <w:rFonts w:ascii="宋体" w:hAnsi="宋体" w:cs="宋体"/>
              </w:rPr>
            </w:pPr>
            <w:r>
              <w:rPr>
                <w:rFonts w:hint="eastAsia" w:ascii="宋体" w:hAnsi="宋体" w:cs="宋体"/>
              </w:rPr>
              <w:t>2、输出《重咨集团网络与信息安全风险评估问题单》、《重咨集团网络与信息安全风险评估报告》。</w:t>
            </w:r>
          </w:p>
        </w:tc>
        <w:tc>
          <w:tcPr>
            <w:tcW w:w="457"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3</w:t>
            </w:r>
          </w:p>
        </w:tc>
        <w:tc>
          <w:tcPr>
            <w:tcW w:w="769"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数据安全风险评估★</w:t>
            </w:r>
          </w:p>
        </w:tc>
        <w:tc>
          <w:tcPr>
            <w:tcW w:w="3264" w:type="pct"/>
            <w:vAlign w:val="center"/>
          </w:tcPr>
          <w:p>
            <w:pPr>
              <w:adjustRightInd w:val="0"/>
              <w:snapToGrid w:val="0"/>
              <w:spacing w:before="187" w:after="187" w:line="400" w:lineRule="exact"/>
              <w:jc w:val="left"/>
              <w:rPr>
                <w:rFonts w:ascii="宋体" w:hAnsi="宋体" w:cs="宋体"/>
              </w:rPr>
            </w:pPr>
            <w:r>
              <w:rPr>
                <w:rFonts w:hint="eastAsia" w:ascii="宋体" w:hAnsi="宋体" w:cs="宋体"/>
              </w:rPr>
              <w:t>1、根据《中华人民共和国数据安全法》、《重庆市数据条例》等法律法规和文件要求，对重咨集团本部的数据资产梳理以及重要信息系统进行数据安全风险评估，协助集团对数据资产分类分级管理、全生命周期安全防护等方面的完善，包括但不限于数据安全管理制度完善、数据资产梳理、数据分类分级、数据处理活动分析、数据全生命周期安全性防护分析。</w:t>
            </w:r>
          </w:p>
          <w:p>
            <w:pPr>
              <w:adjustRightInd w:val="0"/>
              <w:snapToGrid w:val="0"/>
              <w:spacing w:before="187" w:after="187" w:line="400" w:lineRule="exact"/>
              <w:jc w:val="left"/>
              <w:rPr>
                <w:rFonts w:ascii="宋体" w:hAnsi="宋体" w:cs="宋体"/>
              </w:rPr>
            </w:pPr>
            <w:r>
              <w:rPr>
                <w:rFonts w:hint="eastAsia" w:ascii="宋体" w:hAnsi="宋体" w:cs="宋体"/>
              </w:rPr>
              <w:t>2、输出《重咨集团数据资产清单及分类分级目录》、《重咨集团xx系统数据安全风险评估报告》。</w:t>
            </w:r>
          </w:p>
        </w:tc>
        <w:tc>
          <w:tcPr>
            <w:tcW w:w="457"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4</w:t>
            </w:r>
          </w:p>
        </w:tc>
        <w:tc>
          <w:tcPr>
            <w:tcW w:w="769"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安全加固★</w:t>
            </w:r>
          </w:p>
        </w:tc>
        <w:tc>
          <w:tcPr>
            <w:tcW w:w="3264" w:type="pct"/>
            <w:vAlign w:val="center"/>
          </w:tcPr>
          <w:p>
            <w:pPr>
              <w:adjustRightInd w:val="0"/>
              <w:snapToGrid w:val="0"/>
              <w:spacing w:before="187" w:after="187" w:line="400" w:lineRule="exact"/>
              <w:jc w:val="left"/>
              <w:rPr>
                <w:rFonts w:ascii="宋体" w:hAnsi="宋体" w:cs="宋体"/>
              </w:rPr>
            </w:pPr>
            <w:r>
              <w:rPr>
                <w:rFonts w:hint="eastAsia" w:ascii="宋体" w:hAnsi="宋体" w:cs="宋体"/>
              </w:rPr>
              <w:t>对在安全评估梳理、定期扫描、渗透测试、等保测评、安全检查中发现的漏洞进行安全加固，指导管理员，协助系统建设单位完成加固，并对加固完成情况进行验证把关。输出《重咨集团安全加固报告》。</w:t>
            </w:r>
          </w:p>
        </w:tc>
        <w:tc>
          <w:tcPr>
            <w:tcW w:w="457"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2次/年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adjustRightInd w:val="0"/>
              <w:snapToGrid w:val="0"/>
              <w:spacing w:before="187" w:after="187" w:line="400" w:lineRule="exact"/>
              <w:jc w:val="center"/>
              <w:rPr>
                <w:rFonts w:ascii="宋体" w:hAnsi="宋体" w:cs="宋体"/>
              </w:rPr>
            </w:pPr>
            <w:r>
              <w:rPr>
                <w:rFonts w:ascii="宋体" w:hAnsi="宋体" w:cs="宋体"/>
              </w:rPr>
              <w:t>5</w:t>
            </w:r>
          </w:p>
        </w:tc>
        <w:tc>
          <w:tcPr>
            <w:tcW w:w="769"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定期扫描服务★</w:t>
            </w:r>
          </w:p>
        </w:tc>
        <w:tc>
          <w:tcPr>
            <w:tcW w:w="3264" w:type="pct"/>
            <w:vAlign w:val="center"/>
          </w:tcPr>
          <w:p>
            <w:pPr>
              <w:adjustRightInd w:val="0"/>
              <w:snapToGrid w:val="0"/>
              <w:spacing w:before="187" w:after="187" w:line="400" w:lineRule="exact"/>
              <w:jc w:val="left"/>
              <w:rPr>
                <w:rFonts w:ascii="宋体" w:hAnsi="宋体" w:cs="宋体"/>
              </w:rPr>
            </w:pPr>
            <w:r>
              <w:rPr>
                <w:rFonts w:ascii="宋体" w:hAnsi="宋体" w:cs="宋体"/>
              </w:rPr>
              <w:t>1</w:t>
            </w:r>
            <w:r>
              <w:rPr>
                <w:rFonts w:hint="eastAsia" w:ascii="宋体" w:hAnsi="宋体" w:cs="宋体"/>
              </w:rPr>
              <w:t>、对重咨集团基础网络单元、安全设备和主要信息系统，每月进行安全扫描。针对发现的安全问题提供整改建议，出具《重咨集团网络安全漏扫报告》。</w:t>
            </w:r>
          </w:p>
          <w:p>
            <w:pPr>
              <w:adjustRightInd w:val="0"/>
              <w:snapToGrid w:val="0"/>
              <w:spacing w:before="187" w:after="187" w:line="400" w:lineRule="exact"/>
              <w:jc w:val="left"/>
              <w:rPr>
                <w:rFonts w:ascii="宋体" w:hAnsi="宋体" w:cs="宋体"/>
              </w:rPr>
            </w:pPr>
            <w:r>
              <w:rPr>
                <w:rFonts w:ascii="宋体" w:hAnsi="宋体" w:cs="宋体"/>
              </w:rPr>
              <w:t>2</w:t>
            </w:r>
            <w:r>
              <w:rPr>
                <w:rFonts w:hint="eastAsia" w:ascii="宋体" w:hAnsi="宋体" w:cs="宋体"/>
              </w:rPr>
              <w:t>、针对扫描发现的安全隐患，协助重咨集团建立整改跟踪机制，规范整改行为，协助整改安全隐患，让集团能清晰掌握系统安全整改进度、效果、总体情况，按季度输出漏扫分析报告《重咨集团XX季度漏洞扫描分析报告》。</w:t>
            </w:r>
          </w:p>
        </w:tc>
        <w:tc>
          <w:tcPr>
            <w:tcW w:w="457"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1次/月，共12次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adjustRightInd w:val="0"/>
              <w:snapToGrid w:val="0"/>
              <w:spacing w:before="187" w:after="187" w:line="400" w:lineRule="exact"/>
              <w:jc w:val="center"/>
              <w:rPr>
                <w:rFonts w:ascii="宋体" w:hAnsi="宋体" w:cs="宋体"/>
              </w:rPr>
            </w:pPr>
            <w:r>
              <w:rPr>
                <w:rFonts w:ascii="宋体" w:hAnsi="宋体" w:cs="宋体"/>
              </w:rPr>
              <w:t>6</w:t>
            </w:r>
          </w:p>
        </w:tc>
        <w:tc>
          <w:tcPr>
            <w:tcW w:w="769"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定期渗透服务★</w:t>
            </w:r>
          </w:p>
        </w:tc>
        <w:tc>
          <w:tcPr>
            <w:tcW w:w="3264" w:type="pct"/>
            <w:vAlign w:val="center"/>
          </w:tcPr>
          <w:p>
            <w:pPr>
              <w:adjustRightInd w:val="0"/>
              <w:snapToGrid w:val="0"/>
              <w:spacing w:before="187" w:after="187" w:line="400" w:lineRule="exact"/>
              <w:jc w:val="left"/>
              <w:rPr>
                <w:rFonts w:ascii="宋体" w:hAnsi="宋体" w:cs="宋体"/>
              </w:rPr>
            </w:pPr>
            <w:r>
              <w:rPr>
                <w:rFonts w:hint="eastAsia" w:ascii="宋体" w:hAnsi="宋体" w:cs="宋体"/>
              </w:rPr>
              <w:t>1、按约定周期开展渗透测试服务，对重咨集团重要信息系统，定期进行安全渗透测试。针对发现的安全问题提供整改建议，出具《重咨集团xx系统渗透测试报告》。</w:t>
            </w:r>
          </w:p>
          <w:p>
            <w:pPr>
              <w:adjustRightInd w:val="0"/>
              <w:snapToGrid w:val="0"/>
              <w:spacing w:before="187" w:after="187" w:line="400" w:lineRule="exact"/>
              <w:jc w:val="left"/>
              <w:rPr>
                <w:rFonts w:ascii="宋体" w:hAnsi="宋体" w:cs="宋体"/>
              </w:rPr>
            </w:pPr>
            <w:r>
              <w:rPr>
                <w:rFonts w:hint="eastAsia" w:ascii="宋体" w:hAnsi="宋体" w:cs="宋体"/>
              </w:rPr>
              <w:t>2、针对渗透发现的安全隐患，协助重咨集团建立整改跟踪机制，规范整改行为，协助整改安全隐患，让重咨集团能清晰掌握系统安全整改进度、效果、总体情况。服务完输出渗透分析报告《重咨集团渗透测试分析报告》。</w:t>
            </w:r>
          </w:p>
        </w:tc>
        <w:tc>
          <w:tcPr>
            <w:tcW w:w="457"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1次/季度，共4次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0"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7</w:t>
            </w:r>
          </w:p>
        </w:tc>
        <w:tc>
          <w:tcPr>
            <w:tcW w:w="769"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安全策略优化★</w:t>
            </w:r>
          </w:p>
        </w:tc>
        <w:tc>
          <w:tcPr>
            <w:tcW w:w="3264" w:type="pct"/>
            <w:vAlign w:val="center"/>
          </w:tcPr>
          <w:p>
            <w:pPr>
              <w:adjustRightInd w:val="0"/>
              <w:snapToGrid w:val="0"/>
              <w:spacing w:before="187" w:after="187" w:line="400" w:lineRule="exact"/>
              <w:jc w:val="left"/>
              <w:rPr>
                <w:rFonts w:ascii="宋体" w:hAnsi="宋体" w:cs="宋体"/>
              </w:rPr>
            </w:pPr>
            <w:r>
              <w:rPr>
                <w:rFonts w:hint="eastAsia" w:ascii="宋体" w:hAnsi="宋体" w:cs="宋体"/>
              </w:rPr>
              <w:t>对重要的网络安全设备进行策略核查，根据应用系统的环境对策略进行优化调整，输出《重咨集团策略优化报告》。</w:t>
            </w:r>
          </w:p>
        </w:tc>
        <w:tc>
          <w:tcPr>
            <w:tcW w:w="457"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2次/年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0"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8</w:t>
            </w:r>
          </w:p>
        </w:tc>
        <w:tc>
          <w:tcPr>
            <w:tcW w:w="769"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安全监控服务★</w:t>
            </w:r>
          </w:p>
        </w:tc>
        <w:tc>
          <w:tcPr>
            <w:tcW w:w="3264" w:type="pct"/>
            <w:vAlign w:val="center"/>
          </w:tcPr>
          <w:p>
            <w:pPr>
              <w:adjustRightInd w:val="0"/>
              <w:snapToGrid w:val="0"/>
              <w:spacing w:before="187" w:after="187" w:line="400" w:lineRule="exact"/>
              <w:jc w:val="left"/>
              <w:rPr>
                <w:rFonts w:ascii="宋体" w:hAnsi="宋体" w:cs="宋体"/>
              </w:rPr>
            </w:pPr>
            <w:r>
              <w:rPr>
                <w:rFonts w:ascii="宋体" w:hAnsi="宋体" w:cs="宋体"/>
              </w:rPr>
              <w:t>1</w:t>
            </w:r>
            <w:r>
              <w:rPr>
                <w:rFonts w:hint="eastAsia" w:ascii="宋体" w:hAnsi="宋体" w:cs="宋体"/>
              </w:rPr>
              <w:t>、1年365天7×24小时，至少每隔30分钟一次对重咨集团网站群的网站以及咨采平台网站页面进行安全性、可用性持续监控；有效反馈被监控系统的安全状态，及时发现系统被篡改、被植入恶意代码等、网络故障、服务宕机等安全事件；通过电话实时进行安全事件告警。</w:t>
            </w:r>
          </w:p>
          <w:p>
            <w:pPr>
              <w:adjustRightInd w:val="0"/>
              <w:snapToGrid w:val="0"/>
              <w:spacing w:before="187" w:after="187" w:line="400" w:lineRule="exact"/>
              <w:jc w:val="left"/>
              <w:rPr>
                <w:rFonts w:ascii="宋体" w:hAnsi="宋体" w:cs="宋体"/>
              </w:rPr>
            </w:pPr>
            <w:r>
              <w:rPr>
                <w:rFonts w:hint="eastAsia" w:ascii="宋体" w:hAnsi="宋体" w:cs="宋体"/>
              </w:rPr>
              <w:t>2、每半年输出一次监测分析报告《重咨集团网站安全监测分析报告》。</w:t>
            </w:r>
          </w:p>
        </w:tc>
        <w:tc>
          <w:tcPr>
            <w:tcW w:w="457"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0"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9</w:t>
            </w:r>
          </w:p>
        </w:tc>
        <w:tc>
          <w:tcPr>
            <w:tcW w:w="769"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安全培训★</w:t>
            </w:r>
          </w:p>
        </w:tc>
        <w:tc>
          <w:tcPr>
            <w:tcW w:w="3264" w:type="pct"/>
            <w:vAlign w:val="center"/>
          </w:tcPr>
          <w:p>
            <w:pPr>
              <w:adjustRightInd w:val="0"/>
              <w:snapToGrid w:val="0"/>
              <w:spacing w:before="187" w:after="187" w:line="400" w:lineRule="exact"/>
              <w:jc w:val="left"/>
              <w:rPr>
                <w:rFonts w:ascii="宋体" w:hAnsi="宋体" w:cs="宋体"/>
              </w:rPr>
            </w:pPr>
            <w:r>
              <w:rPr>
                <w:rFonts w:ascii="宋体" w:hAnsi="宋体" w:cs="宋体"/>
              </w:rPr>
              <w:t>1</w:t>
            </w:r>
            <w:r>
              <w:rPr>
                <w:rFonts w:hint="eastAsia" w:ascii="宋体" w:hAnsi="宋体" w:cs="宋体"/>
              </w:rPr>
              <w:t>、在服务有效期内提供不少于两次安全培训，并提供培训课件。</w:t>
            </w:r>
          </w:p>
          <w:p>
            <w:pPr>
              <w:adjustRightInd w:val="0"/>
              <w:snapToGrid w:val="0"/>
              <w:spacing w:before="187" w:after="187" w:line="400" w:lineRule="exact"/>
              <w:jc w:val="left"/>
              <w:rPr>
                <w:rFonts w:ascii="宋体" w:hAnsi="宋体" w:cs="宋体"/>
              </w:rPr>
            </w:pPr>
            <w:r>
              <w:rPr>
                <w:rFonts w:hint="eastAsia" w:ascii="宋体" w:hAnsi="宋体" w:cs="宋体"/>
              </w:rPr>
              <w:t>2、针对重咨集团全体员工进行网络安全意识培训，提升集团全员网络与信息安全防范意识，不少于4学时。</w:t>
            </w:r>
          </w:p>
          <w:p>
            <w:pPr>
              <w:adjustRightInd w:val="0"/>
              <w:snapToGrid w:val="0"/>
              <w:spacing w:before="187" w:after="187" w:line="400" w:lineRule="exact"/>
              <w:jc w:val="left"/>
              <w:rPr>
                <w:rFonts w:ascii="宋体" w:hAnsi="宋体" w:cs="宋体"/>
              </w:rPr>
            </w:pPr>
            <w:r>
              <w:rPr>
                <w:rFonts w:ascii="宋体" w:hAnsi="宋体" w:cs="宋体"/>
              </w:rPr>
              <w:t>3</w:t>
            </w:r>
            <w:r>
              <w:rPr>
                <w:rFonts w:hint="eastAsia" w:ascii="宋体" w:hAnsi="宋体" w:cs="宋体"/>
              </w:rPr>
              <w:t>、针对重咨集团的技术人员开展进行网络安全涉及的法律法规、政策规定、网络安全防护基础，安全事件处置、安全基线达标、漏洞扫描及渗透测试等方面的培训。培训后运维人员能够掌握基本信息安全知识和工具使用方法，提升运维人员的安全技能，不少于8学时。</w:t>
            </w:r>
          </w:p>
          <w:p>
            <w:pPr>
              <w:adjustRightInd w:val="0"/>
              <w:snapToGrid w:val="0"/>
              <w:spacing w:before="187" w:after="187" w:line="400" w:lineRule="exact"/>
              <w:jc w:val="left"/>
              <w:rPr>
                <w:rFonts w:ascii="宋体" w:hAnsi="宋体" w:cs="宋体"/>
              </w:rPr>
            </w:pPr>
            <w:r>
              <w:rPr>
                <w:rFonts w:hint="eastAsia" w:ascii="宋体" w:hAnsi="宋体" w:cs="宋体"/>
              </w:rPr>
              <w:t>4、输出《重咨集团安全培训课件》、《安全培训记录》、《安全培训考查记录》。</w:t>
            </w:r>
          </w:p>
        </w:tc>
        <w:tc>
          <w:tcPr>
            <w:tcW w:w="457"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2次/年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1</w:t>
            </w:r>
            <w:r>
              <w:rPr>
                <w:rFonts w:ascii="宋体" w:hAnsi="宋体" w:cs="宋体"/>
              </w:rPr>
              <w:t>0</w:t>
            </w:r>
          </w:p>
        </w:tc>
        <w:tc>
          <w:tcPr>
            <w:tcW w:w="769"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应急预案及演练★</w:t>
            </w:r>
          </w:p>
        </w:tc>
        <w:tc>
          <w:tcPr>
            <w:tcW w:w="3264" w:type="pct"/>
            <w:vAlign w:val="center"/>
          </w:tcPr>
          <w:p>
            <w:pPr>
              <w:adjustRightInd w:val="0"/>
              <w:snapToGrid w:val="0"/>
              <w:spacing w:before="187" w:after="187" w:line="400" w:lineRule="exact"/>
              <w:jc w:val="left"/>
              <w:rPr>
                <w:rFonts w:ascii="宋体" w:hAnsi="宋体" w:cs="宋体"/>
              </w:rPr>
            </w:pPr>
            <w:r>
              <w:rPr>
                <w:rFonts w:hint="eastAsia" w:ascii="宋体" w:hAnsi="宋体" w:cs="宋体"/>
              </w:rPr>
              <w:t>1、协助完善重咨集团的安全应急预案。</w:t>
            </w:r>
          </w:p>
          <w:p>
            <w:pPr>
              <w:adjustRightInd w:val="0"/>
              <w:snapToGrid w:val="0"/>
              <w:spacing w:before="187" w:after="187" w:line="400" w:lineRule="exact"/>
              <w:jc w:val="left"/>
              <w:rPr>
                <w:rFonts w:ascii="宋体" w:hAnsi="宋体" w:cs="宋体"/>
              </w:rPr>
            </w:pPr>
            <w:r>
              <w:rPr>
                <w:rFonts w:hint="eastAsia" w:ascii="宋体" w:hAnsi="宋体" w:cs="宋体"/>
              </w:rPr>
              <w:t>2、</w:t>
            </w:r>
            <w:r>
              <w:rPr>
                <w:rFonts w:hint="eastAsia" w:ascii="宋体" w:hAnsi="宋体" w:cs="宋体"/>
                <w:lang w:eastAsia="zh-Hans"/>
              </w:rPr>
              <w:t>根据</w:t>
            </w:r>
            <w:r>
              <w:rPr>
                <w:rFonts w:hint="eastAsia" w:ascii="宋体" w:hAnsi="宋体" w:cs="宋体"/>
              </w:rPr>
              <w:t>重咨</w:t>
            </w:r>
            <w:r>
              <w:rPr>
                <w:rFonts w:hint="eastAsia" w:ascii="宋体" w:hAnsi="宋体" w:cs="宋体"/>
                <w:lang w:eastAsia="zh-Hans"/>
              </w:rPr>
              <w:t>集团要求，制定演练计划，编写网络安全应急演练方案，搭建演练环境，安排技术人员到集团</w:t>
            </w:r>
            <w:r>
              <w:rPr>
                <w:rFonts w:hint="eastAsia" w:ascii="宋体" w:hAnsi="宋体" w:cs="宋体"/>
              </w:rPr>
              <w:t>开展现场应急演练，对应急演练存在的不足提出优化建议，协助</w:t>
            </w:r>
            <w:r>
              <w:rPr>
                <w:rFonts w:hint="eastAsia" w:ascii="宋体" w:hAnsi="宋体" w:cs="宋体"/>
                <w:lang w:eastAsia="zh-Hans"/>
              </w:rPr>
              <w:t>集团</w:t>
            </w:r>
            <w:r>
              <w:rPr>
                <w:rFonts w:hint="eastAsia" w:ascii="宋体" w:hAnsi="宋体" w:cs="宋体"/>
              </w:rPr>
              <w:t>提升应对突发网络安全事件的监控能力和处置能力。</w:t>
            </w:r>
          </w:p>
          <w:p>
            <w:pPr>
              <w:adjustRightInd w:val="0"/>
              <w:snapToGrid w:val="0"/>
              <w:spacing w:before="187" w:after="187" w:line="400" w:lineRule="exact"/>
              <w:jc w:val="left"/>
              <w:rPr>
                <w:rFonts w:ascii="宋体" w:hAnsi="宋体" w:cs="宋体"/>
              </w:rPr>
            </w:pPr>
            <w:r>
              <w:rPr>
                <w:rFonts w:ascii="宋体" w:hAnsi="宋体" w:cs="宋体"/>
              </w:rPr>
              <w:t>3</w:t>
            </w:r>
            <w:r>
              <w:rPr>
                <w:rFonts w:hint="eastAsia" w:ascii="宋体" w:hAnsi="宋体" w:cs="宋体"/>
              </w:rPr>
              <w:t>、输出《重咨集团网络与信息安全应急预案》、《重咨集团网络信息与数据安全总体应急预案框架》、《重咨集团XXX事件应急演练方案》、《重咨集团应急演练总结》。</w:t>
            </w:r>
          </w:p>
        </w:tc>
        <w:tc>
          <w:tcPr>
            <w:tcW w:w="457"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1</w:t>
            </w:r>
            <w:r>
              <w:rPr>
                <w:rFonts w:hint="eastAsia" w:ascii="宋体" w:hAnsi="宋体" w:cs="宋体"/>
                <w:lang w:eastAsia="zh-Hans"/>
              </w:rPr>
              <w:t>次</w:t>
            </w:r>
            <w:r>
              <w:rPr>
                <w:rFonts w:hint="eastAsia" w:ascii="宋体" w:hAnsi="宋体" w:cs="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1</w:t>
            </w:r>
            <w:r>
              <w:rPr>
                <w:rFonts w:ascii="宋体" w:hAnsi="宋体" w:cs="宋体"/>
              </w:rPr>
              <w:t>1</w:t>
            </w:r>
          </w:p>
        </w:tc>
        <w:tc>
          <w:tcPr>
            <w:tcW w:w="769"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应急响应★</w:t>
            </w:r>
          </w:p>
        </w:tc>
        <w:tc>
          <w:tcPr>
            <w:tcW w:w="3264" w:type="pct"/>
            <w:vAlign w:val="center"/>
          </w:tcPr>
          <w:p>
            <w:pPr>
              <w:adjustRightInd w:val="0"/>
              <w:snapToGrid w:val="0"/>
              <w:spacing w:before="187" w:after="187" w:line="400" w:lineRule="exact"/>
              <w:jc w:val="left"/>
              <w:rPr>
                <w:rFonts w:ascii="宋体" w:hAnsi="宋体" w:cs="宋体"/>
              </w:rPr>
            </w:pPr>
            <w:r>
              <w:rPr>
                <w:rFonts w:hint="eastAsia" w:ascii="宋体" w:hAnsi="宋体" w:cs="宋体"/>
              </w:rPr>
              <w:t>针对外部黑客入侵、数据泄露、木马病毒等突发安全事件时，进行应急响应处理，避免事态恶化。遇到遭遇攻击或网页被篡改等恶性事件，要求1小时内到达现场，实施有效的紧急救援及恢复补救方案。应急响应服务工作完成后，针对此次事件的问题现象、发生原因以及处理过程，预防措施与建议进行总结报告。出具《重咨集团网络安全应急响应报告》。</w:t>
            </w:r>
          </w:p>
        </w:tc>
        <w:tc>
          <w:tcPr>
            <w:tcW w:w="457"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不限次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1</w:t>
            </w:r>
            <w:r>
              <w:rPr>
                <w:rFonts w:ascii="宋体" w:hAnsi="宋体" w:cs="宋体"/>
              </w:rPr>
              <w:t>2</w:t>
            </w:r>
          </w:p>
        </w:tc>
        <w:tc>
          <w:tcPr>
            <w:tcW w:w="769"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安全检查服务★</w:t>
            </w:r>
          </w:p>
        </w:tc>
        <w:tc>
          <w:tcPr>
            <w:tcW w:w="3264" w:type="pct"/>
            <w:vAlign w:val="center"/>
          </w:tcPr>
          <w:p>
            <w:pPr>
              <w:adjustRightInd w:val="0"/>
              <w:snapToGrid w:val="0"/>
              <w:spacing w:before="187" w:after="187" w:line="400" w:lineRule="exact"/>
              <w:jc w:val="left"/>
              <w:rPr>
                <w:rFonts w:ascii="宋体" w:hAnsi="宋体" w:cs="宋体"/>
              </w:rPr>
            </w:pPr>
            <w:r>
              <w:rPr>
                <w:rFonts w:hint="eastAsia" w:ascii="宋体" w:hAnsi="宋体" w:cs="宋体"/>
              </w:rPr>
              <w:t>在接受网络安全主管部门检查或上级部门开展网络安全检查期间的自查、差距分析、整改及陪同检查服务、相关工作配合服务。</w:t>
            </w:r>
          </w:p>
        </w:tc>
        <w:tc>
          <w:tcPr>
            <w:tcW w:w="457"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不限次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adjustRightInd w:val="0"/>
              <w:snapToGrid w:val="0"/>
              <w:spacing w:before="187" w:after="187" w:line="400" w:lineRule="exact"/>
              <w:jc w:val="center"/>
              <w:rPr>
                <w:rFonts w:ascii="宋体" w:hAnsi="宋体" w:cs="宋体"/>
              </w:rPr>
            </w:pPr>
            <w:r>
              <w:rPr>
                <w:rFonts w:ascii="宋体" w:hAnsi="宋体" w:cs="宋体"/>
              </w:rPr>
              <w:t>13</w:t>
            </w:r>
          </w:p>
        </w:tc>
        <w:tc>
          <w:tcPr>
            <w:tcW w:w="769"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网络与信息安全专业人员驻场服务★</w:t>
            </w:r>
          </w:p>
        </w:tc>
        <w:tc>
          <w:tcPr>
            <w:tcW w:w="3264" w:type="pct"/>
            <w:vAlign w:val="center"/>
          </w:tcPr>
          <w:p>
            <w:pPr>
              <w:adjustRightInd w:val="0"/>
              <w:snapToGrid w:val="0"/>
              <w:spacing w:before="187" w:after="187" w:line="400" w:lineRule="exact"/>
              <w:jc w:val="left"/>
            </w:pPr>
            <w:r>
              <w:rPr>
                <w:rFonts w:hint="eastAsia" w:ascii="宋体" w:hAnsi="宋体" w:cs="宋体"/>
              </w:rPr>
              <w:t>派遣</w:t>
            </w:r>
            <w:r>
              <w:rPr>
                <w:rFonts w:ascii="宋体" w:hAnsi="宋体" w:cs="宋体"/>
              </w:rPr>
              <w:t>1</w:t>
            </w:r>
            <w:r>
              <w:rPr>
                <w:rFonts w:hint="eastAsia" w:ascii="宋体" w:hAnsi="宋体" w:cs="宋体"/>
              </w:rPr>
              <w:t>位具有多年网络与信息安全行业工作经历的</w:t>
            </w:r>
            <w:r>
              <w:rPr>
                <w:rFonts w:hint="eastAsia"/>
              </w:rPr>
              <w:t>安全服务工程师</w:t>
            </w:r>
            <w:r>
              <w:rPr>
                <w:rFonts w:hint="eastAsia" w:ascii="宋体" w:hAnsi="宋体" w:cs="宋体"/>
              </w:rPr>
              <w:t>驻场服务，协助重咨集团开展网络安全、数据安全等相关工作。驻场服务人员需全日制本科及以上学历，安全或计算机相关专业，相关行业工作一年以上，具有网络信息安全相关证书（</w:t>
            </w:r>
            <w:r>
              <w:rPr>
                <w:rFonts w:ascii="宋体" w:hAnsi="宋体" w:cs="宋体"/>
              </w:rPr>
              <w:t>CISP</w:t>
            </w:r>
            <w:r>
              <w:rPr>
                <w:rFonts w:hint="eastAsia" w:ascii="宋体" w:hAnsi="宋体" w:cs="宋体"/>
              </w:rPr>
              <w:t>或</w:t>
            </w:r>
            <w:r>
              <w:rPr>
                <w:rFonts w:ascii="宋体" w:hAnsi="宋体" w:cs="宋体"/>
              </w:rPr>
              <w:t>CISAW</w:t>
            </w:r>
            <w:r>
              <w:rPr>
                <w:rFonts w:hint="eastAsia" w:ascii="宋体" w:hAnsi="宋体" w:cs="宋体"/>
              </w:rPr>
              <w:t>或</w:t>
            </w:r>
            <w:r>
              <w:rPr>
                <w:rFonts w:ascii="宋体" w:hAnsi="宋体" w:cs="宋体"/>
              </w:rPr>
              <w:t>CISSP</w:t>
            </w:r>
            <w:r>
              <w:rPr>
                <w:rFonts w:hint="eastAsia" w:ascii="宋体" w:hAnsi="宋体" w:cs="宋体"/>
              </w:rPr>
              <w:t>），具有相关工作能力。</w:t>
            </w:r>
            <w:r>
              <w:rPr>
                <w:rFonts w:hint="eastAsia"/>
              </w:rPr>
              <w:t>能对集团现有网信数安和商用密码安全性等相关管理制度文件进行修订、完善，并建立一套合规、全面并且符合集团组织机构的安全管理制度体系文件。能结合集团现有业务系统、网络架构、网络和安全策略以及日志进行分析和评估，能找出安全薄弱点，提出符合重咨集团安全需求的网络策略优化建议，并推进网络设备厂商或运维方优化实施。驻场人员工作时间按采购人正常上班时间执行，如遇特殊重大保障，按采购人安排开展工作。根据采购人安排完成相关工作。</w:t>
            </w:r>
            <w:r>
              <w:rPr>
                <w:rFonts w:hint="eastAsia" w:ascii="宋体" w:hAnsi="宋体" w:cs="宋体"/>
              </w:rPr>
              <w:t>在服务期内未经采购人同意，驻场人员不得从事与采购人要求的服务内容无关的其他工作或比选申请人随意更换驻场人员。</w:t>
            </w:r>
          </w:p>
        </w:tc>
        <w:tc>
          <w:tcPr>
            <w:tcW w:w="457"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1人/年</w:t>
            </w:r>
          </w:p>
        </w:tc>
      </w:tr>
    </w:tbl>
    <w:p>
      <w:pPr>
        <w:adjustRightInd w:val="0"/>
        <w:snapToGrid w:val="0"/>
        <w:spacing w:line="360" w:lineRule="auto"/>
        <w:ind w:firstLine="420" w:firstLineChars="200"/>
        <w:rPr>
          <w:rFonts w:ascii="宋体" w:hAnsi="宋体" w:cs="宋体"/>
        </w:rPr>
      </w:pPr>
    </w:p>
    <w:p>
      <w:pPr>
        <w:adjustRightInd w:val="0"/>
        <w:snapToGrid w:val="0"/>
        <w:spacing w:line="360" w:lineRule="auto"/>
        <w:ind w:firstLine="420" w:firstLineChars="200"/>
        <w:rPr>
          <w:rFonts w:ascii="宋体" w:hAnsi="宋体" w:cs="宋体"/>
        </w:rPr>
      </w:pPr>
      <w:r>
        <w:rPr>
          <w:rFonts w:hint="eastAsia" w:ascii="宋体" w:hAnsi="宋体" w:cs="宋体"/>
        </w:rPr>
        <w:t>3.2、合同估算金额：约</w:t>
      </w:r>
      <w:r>
        <w:rPr>
          <w:rFonts w:hint="eastAsia" w:ascii="宋体" w:hAnsi="宋体" w:cs="宋体"/>
          <w:u w:val="single"/>
        </w:rPr>
        <w:t>50</w:t>
      </w:r>
      <w:r>
        <w:rPr>
          <w:rFonts w:hint="eastAsia" w:ascii="宋体" w:hAnsi="宋体" w:cs="宋体"/>
        </w:rPr>
        <w:t>万元。</w:t>
      </w:r>
    </w:p>
    <w:p>
      <w:pPr>
        <w:spacing w:line="360" w:lineRule="auto"/>
        <w:ind w:firstLine="420" w:firstLineChars="200"/>
      </w:pPr>
      <w:r>
        <w:rPr>
          <w:rFonts w:ascii="宋体" w:hAnsi="宋体" w:cs="宋体"/>
        </w:rPr>
        <w:t>4</w:t>
      </w:r>
      <w:r>
        <w:rPr>
          <w:rFonts w:hint="eastAsia" w:ascii="宋体" w:hAnsi="宋体" w:cs="宋体"/>
        </w:rPr>
        <w:t>、服务期：1年。</w:t>
      </w:r>
    </w:p>
    <w:p>
      <w:pPr>
        <w:spacing w:line="360" w:lineRule="auto"/>
        <w:ind w:firstLine="420" w:firstLineChars="200"/>
        <w:rPr>
          <w:rFonts w:ascii="宋体"/>
        </w:rPr>
      </w:pPr>
      <w:r>
        <w:rPr>
          <w:rFonts w:hint="eastAsia" w:ascii="宋体" w:hAnsi="宋体" w:cs="宋体"/>
        </w:rPr>
        <w:t>5、比选申请人资格条件要求：</w:t>
      </w:r>
    </w:p>
    <w:p>
      <w:pPr>
        <w:spacing w:line="360" w:lineRule="auto"/>
        <w:ind w:firstLine="420" w:firstLineChars="200"/>
        <w:rPr>
          <w:rFonts w:ascii="宋体" w:hAnsi="宋体" w:cs="宋体"/>
        </w:rPr>
      </w:pPr>
      <w:r>
        <w:rPr>
          <w:rFonts w:hint="eastAsia" w:ascii="宋体" w:hAnsi="宋体" w:cs="宋体"/>
        </w:rPr>
        <w:t>5.1．具有有效的营业执照或法人证书；</w:t>
      </w:r>
    </w:p>
    <w:p>
      <w:pPr>
        <w:spacing w:line="360" w:lineRule="auto"/>
        <w:ind w:firstLine="420" w:firstLineChars="200"/>
        <w:rPr>
          <w:rFonts w:ascii="宋体" w:hAnsi="宋体" w:cs="宋体"/>
        </w:rPr>
      </w:pPr>
      <w:r>
        <w:rPr>
          <w:rFonts w:hint="eastAsia" w:ascii="宋体" w:hAnsi="宋体" w:cs="宋体"/>
        </w:rPr>
        <w:t>5.2．具有良好的商业信誉和健全的财务会计制度；</w:t>
      </w:r>
    </w:p>
    <w:p>
      <w:pPr>
        <w:spacing w:line="360" w:lineRule="auto"/>
        <w:ind w:firstLine="420" w:firstLineChars="200"/>
        <w:rPr>
          <w:rFonts w:ascii="宋体" w:hAnsi="宋体" w:cs="宋体"/>
        </w:rPr>
      </w:pPr>
      <w:r>
        <w:rPr>
          <w:rFonts w:hint="eastAsia" w:ascii="宋体" w:hAnsi="宋体" w:cs="宋体"/>
        </w:rPr>
        <w:t>5.3．具备履行合同所必需的设备或工具（包括但不限于漏洞扫描器、渗透测试工具等）和专业技术能力（包括但不限于2个高级或以上、3个中级或以上相关职称人员）；</w:t>
      </w:r>
    </w:p>
    <w:p>
      <w:pPr>
        <w:spacing w:line="360" w:lineRule="auto"/>
        <w:ind w:firstLine="420" w:firstLineChars="200"/>
        <w:rPr>
          <w:rFonts w:ascii="宋体" w:hAnsi="宋体" w:cs="宋体"/>
        </w:rPr>
      </w:pPr>
      <w:r>
        <w:rPr>
          <w:rFonts w:hint="eastAsia" w:ascii="宋体" w:hAnsi="宋体" w:cs="宋体"/>
        </w:rPr>
        <w:t>5.4. 有依法缴纳税收和社会保障资金的良好记录；</w:t>
      </w:r>
    </w:p>
    <w:p>
      <w:pPr>
        <w:spacing w:line="360" w:lineRule="auto"/>
        <w:ind w:firstLine="420" w:firstLineChars="200"/>
        <w:rPr>
          <w:rFonts w:ascii="宋体" w:hAnsi="宋体" w:cs="宋体"/>
        </w:rPr>
      </w:pPr>
      <w:r>
        <w:rPr>
          <w:rFonts w:hint="eastAsia" w:ascii="宋体" w:hAnsi="宋体" w:cs="宋体"/>
        </w:rPr>
        <w:t>5.5. 近三年内，在经营活动中没有重大违法记录；</w:t>
      </w:r>
    </w:p>
    <w:p>
      <w:pPr>
        <w:spacing w:line="360" w:lineRule="auto"/>
        <w:ind w:firstLine="420" w:firstLineChars="200"/>
        <w:rPr>
          <w:rFonts w:ascii="宋体" w:hAnsi="宋体" w:cs="宋体"/>
        </w:rPr>
      </w:pPr>
      <w:r>
        <w:rPr>
          <w:rFonts w:hint="eastAsia" w:ascii="宋体" w:hAnsi="宋体" w:cs="宋体"/>
        </w:rPr>
        <w:t>5.6. 具有IS09001质量管理体系认证证书；</w:t>
      </w:r>
    </w:p>
    <w:p>
      <w:pPr>
        <w:spacing w:line="360" w:lineRule="auto"/>
        <w:ind w:firstLine="420" w:firstLineChars="200"/>
        <w:rPr>
          <w:rFonts w:ascii="宋体" w:hAnsi="宋体" w:cs="宋体"/>
        </w:rPr>
      </w:pPr>
      <w:r>
        <w:rPr>
          <w:rFonts w:hint="eastAsia" w:ascii="宋体" w:hAnsi="宋体" w:cs="宋体"/>
        </w:rPr>
        <w:t>5.</w:t>
      </w:r>
      <w:r>
        <w:rPr>
          <w:rFonts w:ascii="宋体" w:hAnsi="宋体" w:cs="宋体"/>
        </w:rPr>
        <w:t>7</w:t>
      </w:r>
      <w:r>
        <w:rPr>
          <w:rFonts w:hint="eastAsia" w:ascii="宋体" w:hAnsi="宋体" w:cs="宋体"/>
        </w:rPr>
        <w:t>. 具有ISO27001信息安全管理体系认证证书；</w:t>
      </w:r>
    </w:p>
    <w:p>
      <w:pPr>
        <w:spacing w:line="360" w:lineRule="auto"/>
        <w:ind w:firstLine="420" w:firstLineChars="200"/>
        <w:rPr>
          <w:rFonts w:ascii="宋体" w:hAnsi="宋体" w:cs="宋体"/>
        </w:rPr>
      </w:pPr>
      <w:r>
        <w:rPr>
          <w:rFonts w:hint="eastAsia" w:ascii="宋体" w:hAnsi="宋体" w:cs="宋体"/>
        </w:rPr>
        <w:t>5.</w:t>
      </w:r>
      <w:r>
        <w:rPr>
          <w:rFonts w:ascii="宋体" w:hAnsi="宋体" w:cs="宋体"/>
        </w:rPr>
        <w:t>8</w:t>
      </w:r>
      <w:r>
        <w:rPr>
          <w:rFonts w:hint="eastAsia" w:ascii="宋体" w:hAnsi="宋体" w:cs="宋体"/>
        </w:rPr>
        <w:t>. 具有CCRC信息安全服务风险评估资质认证证书。</w:t>
      </w:r>
    </w:p>
    <w:p>
      <w:pPr>
        <w:pStyle w:val="33"/>
        <w:spacing w:before="0" w:beforeAutospacing="0" w:after="0" w:afterAutospacing="0" w:line="450" w:lineRule="atLeast"/>
        <w:ind w:firstLine="420"/>
        <w:jc w:val="both"/>
        <w:rPr>
          <w:kern w:val="2"/>
          <w:sz w:val="21"/>
          <w:szCs w:val="21"/>
        </w:rPr>
      </w:pPr>
      <w:r>
        <w:rPr>
          <w:rFonts w:hint="eastAsia"/>
          <w:kern w:val="2"/>
          <w:sz w:val="21"/>
          <w:szCs w:val="21"/>
        </w:rPr>
        <w:t>6、凡有意参加竞选者，请于</w:t>
      </w:r>
      <w:r>
        <w:rPr>
          <w:kern w:val="2"/>
          <w:sz w:val="21"/>
          <w:szCs w:val="21"/>
        </w:rPr>
        <w:t>2024</w:t>
      </w:r>
      <w:r>
        <w:rPr>
          <w:rFonts w:hint="eastAsia"/>
          <w:kern w:val="2"/>
          <w:sz w:val="21"/>
          <w:szCs w:val="21"/>
        </w:rPr>
        <w:t>年</w:t>
      </w:r>
      <w:r>
        <w:rPr>
          <w:rFonts w:hint="eastAsia"/>
          <w:kern w:val="2"/>
          <w:sz w:val="21"/>
          <w:szCs w:val="21"/>
          <w:lang w:val="en-US" w:eastAsia="zh-CN"/>
        </w:rPr>
        <w:t>3</w:t>
      </w:r>
      <w:r>
        <w:rPr>
          <w:rFonts w:hint="eastAsia"/>
          <w:kern w:val="2"/>
          <w:sz w:val="21"/>
          <w:szCs w:val="21"/>
        </w:rPr>
        <w:t>月</w:t>
      </w:r>
      <w:r>
        <w:rPr>
          <w:rFonts w:hint="eastAsia"/>
          <w:kern w:val="2"/>
          <w:sz w:val="21"/>
          <w:szCs w:val="21"/>
          <w:lang w:val="en-US" w:eastAsia="zh-CN"/>
        </w:rPr>
        <w:t>28</w:t>
      </w:r>
      <w:r>
        <w:rPr>
          <w:rFonts w:hint="eastAsia"/>
          <w:kern w:val="2"/>
          <w:sz w:val="21"/>
          <w:szCs w:val="21"/>
        </w:rPr>
        <w:t>日（北京时间，下同）起在重庆国际投资咨询集团有限公司网（</w:t>
      </w:r>
      <w:r>
        <w:rPr>
          <w:kern w:val="2"/>
          <w:sz w:val="21"/>
          <w:szCs w:val="21"/>
        </w:rPr>
        <w:t>http://www.cqiic.com/</w:t>
      </w:r>
      <w:r>
        <w:rPr>
          <w:rFonts w:hint="eastAsia"/>
          <w:kern w:val="2"/>
          <w:sz w:val="21"/>
          <w:szCs w:val="21"/>
        </w:rPr>
        <w:t>）下载比选文件、澄清、修改、补充通知、最高限价通知等全部内容。不管下载与否都视为潜在比选申请人全部知晓有关比选全部内容。</w:t>
      </w:r>
    </w:p>
    <w:p>
      <w:pPr>
        <w:pStyle w:val="33"/>
        <w:spacing w:before="0" w:beforeAutospacing="0" w:after="0" w:afterAutospacing="0" w:line="450" w:lineRule="atLeast"/>
        <w:ind w:firstLine="420"/>
        <w:jc w:val="both"/>
        <w:rPr>
          <w:kern w:val="2"/>
          <w:sz w:val="21"/>
          <w:szCs w:val="21"/>
        </w:rPr>
      </w:pPr>
      <w:r>
        <w:rPr>
          <w:rFonts w:hint="eastAsia"/>
          <w:kern w:val="2"/>
          <w:sz w:val="21"/>
          <w:szCs w:val="21"/>
        </w:rPr>
        <w:t>6.2比选申请人通过电子邮件形式（电子邮箱：1638754528</w:t>
      </w:r>
      <w:r>
        <w:rPr>
          <w:kern w:val="2"/>
          <w:sz w:val="21"/>
          <w:szCs w:val="21"/>
        </w:rPr>
        <w:t>@qq.com</w:t>
      </w:r>
      <w:r>
        <w:rPr>
          <w:rFonts w:hint="eastAsia"/>
          <w:kern w:val="2"/>
          <w:sz w:val="21"/>
          <w:szCs w:val="21"/>
        </w:rPr>
        <w:t>）提出疑问，提问时间从本公告发布至</w:t>
      </w:r>
      <w:r>
        <w:rPr>
          <w:kern w:val="2"/>
          <w:sz w:val="21"/>
          <w:szCs w:val="21"/>
        </w:rPr>
        <w:t>2024</w:t>
      </w:r>
      <w:r>
        <w:rPr>
          <w:rFonts w:hint="eastAsia"/>
          <w:kern w:val="2"/>
          <w:sz w:val="21"/>
          <w:szCs w:val="21"/>
        </w:rPr>
        <w:t>年</w:t>
      </w:r>
      <w:r>
        <w:rPr>
          <w:rFonts w:hint="eastAsia"/>
          <w:kern w:val="2"/>
          <w:sz w:val="21"/>
          <w:szCs w:val="21"/>
          <w:lang w:val="en-US" w:eastAsia="zh-CN"/>
        </w:rPr>
        <w:t>3</w:t>
      </w:r>
      <w:r>
        <w:rPr>
          <w:rFonts w:hint="eastAsia"/>
          <w:kern w:val="2"/>
          <w:sz w:val="21"/>
          <w:szCs w:val="21"/>
        </w:rPr>
        <w:t>月</w:t>
      </w:r>
      <w:r>
        <w:rPr>
          <w:rFonts w:hint="eastAsia"/>
          <w:kern w:val="2"/>
          <w:sz w:val="21"/>
          <w:szCs w:val="21"/>
          <w:lang w:val="en-US" w:eastAsia="zh-CN"/>
        </w:rPr>
        <w:t>31</w:t>
      </w:r>
      <w:r>
        <w:rPr>
          <w:rFonts w:hint="eastAsia"/>
          <w:kern w:val="2"/>
          <w:sz w:val="21"/>
          <w:szCs w:val="21"/>
        </w:rPr>
        <w:t>日17时</w:t>
      </w:r>
      <w:r>
        <w:rPr>
          <w:kern w:val="2"/>
          <w:sz w:val="21"/>
          <w:szCs w:val="21"/>
        </w:rPr>
        <w:t>00</w:t>
      </w:r>
      <w:r>
        <w:rPr>
          <w:rFonts w:hint="eastAsia"/>
          <w:kern w:val="2"/>
          <w:sz w:val="21"/>
          <w:szCs w:val="21"/>
        </w:rPr>
        <w:t>分（北京时间）前。</w:t>
      </w:r>
    </w:p>
    <w:p>
      <w:pPr>
        <w:pStyle w:val="33"/>
        <w:spacing w:before="0" w:beforeAutospacing="0" w:after="0" w:afterAutospacing="0" w:line="450" w:lineRule="atLeast"/>
        <w:ind w:firstLine="420"/>
        <w:jc w:val="both"/>
        <w:rPr>
          <w:kern w:val="2"/>
          <w:sz w:val="21"/>
          <w:szCs w:val="21"/>
        </w:rPr>
      </w:pPr>
      <w:r>
        <w:rPr>
          <w:rFonts w:hint="eastAsia"/>
          <w:kern w:val="2"/>
          <w:sz w:val="21"/>
          <w:szCs w:val="21"/>
        </w:rPr>
        <w:t>6.3比选人应于</w:t>
      </w:r>
      <w:r>
        <w:rPr>
          <w:kern w:val="2"/>
          <w:sz w:val="21"/>
          <w:szCs w:val="21"/>
        </w:rPr>
        <w:t>2024</w:t>
      </w:r>
      <w:r>
        <w:rPr>
          <w:rFonts w:hint="eastAsia"/>
          <w:kern w:val="2"/>
          <w:sz w:val="21"/>
          <w:szCs w:val="21"/>
        </w:rPr>
        <w:t>年</w:t>
      </w:r>
      <w:r>
        <w:rPr>
          <w:rFonts w:hint="eastAsia"/>
          <w:kern w:val="2"/>
          <w:sz w:val="21"/>
          <w:szCs w:val="21"/>
          <w:lang w:val="en-US" w:eastAsia="zh-CN"/>
        </w:rPr>
        <w:t>4</w:t>
      </w:r>
      <w:r>
        <w:rPr>
          <w:rFonts w:hint="eastAsia"/>
          <w:kern w:val="2"/>
          <w:sz w:val="21"/>
          <w:szCs w:val="21"/>
        </w:rPr>
        <w:t>月</w:t>
      </w:r>
      <w:r>
        <w:rPr>
          <w:rFonts w:hint="eastAsia"/>
          <w:kern w:val="2"/>
          <w:sz w:val="21"/>
          <w:szCs w:val="21"/>
          <w:lang w:val="en-US" w:eastAsia="zh-CN"/>
        </w:rPr>
        <w:t>1</w:t>
      </w:r>
      <w:r>
        <w:rPr>
          <w:rFonts w:hint="eastAsia"/>
          <w:kern w:val="2"/>
          <w:sz w:val="21"/>
          <w:szCs w:val="21"/>
        </w:rPr>
        <w:t>日</w:t>
      </w:r>
      <w:r>
        <w:rPr>
          <w:kern w:val="2"/>
          <w:sz w:val="21"/>
          <w:szCs w:val="21"/>
        </w:rPr>
        <w:t>18</w:t>
      </w:r>
      <w:r>
        <w:rPr>
          <w:rFonts w:hint="eastAsia"/>
          <w:kern w:val="2"/>
          <w:sz w:val="21"/>
          <w:szCs w:val="21"/>
        </w:rPr>
        <w:t>时</w:t>
      </w:r>
      <w:r>
        <w:rPr>
          <w:kern w:val="2"/>
          <w:sz w:val="21"/>
          <w:szCs w:val="21"/>
        </w:rPr>
        <w:t>00</w:t>
      </w:r>
      <w:r>
        <w:rPr>
          <w:rFonts w:hint="eastAsia"/>
          <w:kern w:val="2"/>
          <w:sz w:val="21"/>
          <w:szCs w:val="21"/>
        </w:rPr>
        <w:t>分（北京时间）前在重庆国际投资咨询集团有限公司网（</w:t>
      </w:r>
      <w:r>
        <w:rPr>
          <w:kern w:val="2"/>
          <w:sz w:val="21"/>
          <w:szCs w:val="21"/>
        </w:rPr>
        <w:t>http://www.cqiic.com/</w:t>
      </w:r>
      <w:r>
        <w:rPr>
          <w:rFonts w:hint="eastAsia"/>
          <w:kern w:val="2"/>
          <w:sz w:val="21"/>
          <w:szCs w:val="21"/>
        </w:rPr>
        <w:t>）发布澄清或修改。</w:t>
      </w:r>
    </w:p>
    <w:p>
      <w:pPr>
        <w:spacing w:line="360" w:lineRule="auto"/>
        <w:ind w:firstLine="420" w:firstLineChars="200"/>
        <w:rPr>
          <w:rFonts w:ascii="宋体" w:hAnsi="宋体" w:cs="宋体"/>
        </w:rPr>
      </w:pPr>
      <w:r>
        <w:rPr>
          <w:rFonts w:hint="eastAsia" w:ascii="宋体" w:hAnsi="宋体" w:cs="宋体"/>
        </w:rPr>
        <w:t>7、比选地点：</w:t>
      </w:r>
      <w:r>
        <w:rPr>
          <w:rFonts w:hint="eastAsia" w:ascii="宋体" w:hAnsi="宋体" w:cs="宋体"/>
          <w:snapToGrid w:val="0"/>
        </w:rPr>
        <w:t>重庆咨询大厦开标大厅，</w:t>
      </w:r>
      <w:r>
        <w:rPr>
          <w:rFonts w:hint="eastAsia" w:ascii="宋体" w:hAnsi="宋体" w:cs="宋体"/>
          <w:snapToGrid w:val="0"/>
          <w:kern w:val="0"/>
        </w:rPr>
        <w:t>具体详见比选当天重咨大厦负一楼大厅指示牌</w:t>
      </w:r>
      <w:r>
        <w:rPr>
          <w:rFonts w:hint="eastAsia" w:ascii="宋体" w:hAnsi="宋体" w:cs="宋体"/>
        </w:rPr>
        <w:t>。</w:t>
      </w:r>
    </w:p>
    <w:p>
      <w:pPr>
        <w:spacing w:line="360" w:lineRule="auto"/>
        <w:ind w:firstLine="420" w:firstLineChars="200"/>
        <w:rPr>
          <w:rFonts w:ascii="宋体"/>
        </w:rPr>
      </w:pPr>
      <w:r>
        <w:rPr>
          <w:rFonts w:hint="eastAsia" w:ascii="宋体" w:hAnsi="宋体" w:cs="宋体"/>
        </w:rPr>
        <w:t>比选截止时间：2024年</w:t>
      </w:r>
      <w:r>
        <w:rPr>
          <w:rFonts w:hint="eastAsia" w:ascii="宋体" w:hAnsi="宋体" w:cs="宋体"/>
          <w:lang w:val="en-US" w:eastAsia="zh-CN"/>
        </w:rPr>
        <w:t>4</w:t>
      </w:r>
      <w:r>
        <w:rPr>
          <w:rFonts w:hint="eastAsia" w:ascii="宋体" w:hAnsi="宋体" w:cs="宋体"/>
        </w:rPr>
        <w:t>月</w:t>
      </w:r>
      <w:r>
        <w:rPr>
          <w:rFonts w:hint="eastAsia" w:ascii="宋体" w:hAnsi="宋体" w:cs="宋体"/>
          <w:lang w:val="en-US" w:eastAsia="zh-CN"/>
        </w:rPr>
        <w:t>4</w:t>
      </w:r>
      <w:r>
        <w:rPr>
          <w:rFonts w:hint="eastAsia" w:ascii="宋体" w:hAnsi="宋体" w:cs="宋体"/>
        </w:rPr>
        <w:t>日10：00（提前30分钟接收比选申请文件），</w:t>
      </w:r>
      <w:r>
        <w:rPr>
          <w:rFonts w:hint="eastAsia" w:ascii="宋体" w:hAnsi="宋体" w:cs="宋体"/>
          <w:snapToGrid w:val="0"/>
          <w:kern w:val="0"/>
        </w:rPr>
        <w:t>逾期送达的或者未送达指定地点的比选申请文件，比选人不予受理</w:t>
      </w:r>
      <w:r>
        <w:rPr>
          <w:rFonts w:hint="eastAsia" w:ascii="宋体" w:hAnsi="宋体" w:cs="宋体"/>
        </w:rPr>
        <w:t>。</w:t>
      </w:r>
    </w:p>
    <w:p>
      <w:pPr>
        <w:spacing w:line="360" w:lineRule="auto"/>
        <w:ind w:firstLine="420" w:firstLineChars="200"/>
        <w:rPr>
          <w:rFonts w:ascii="宋体" w:hAnsi="宋体" w:cs="宋体"/>
        </w:rPr>
      </w:pPr>
      <w:r>
        <w:rPr>
          <w:rFonts w:hint="eastAsia" w:ascii="宋体" w:hAnsi="宋体" w:cs="宋体"/>
        </w:rPr>
        <w:t>8、发布媒介：本次比选公告同时在《中国招标投标公共服务平台（http://www.cebpubservice.com）》、《重庆国际投资咨询集团有限公司网（www.cqiic.com）》和《咨采平台（http://www.zicaipingtai.com）》上发布。</w:t>
      </w:r>
    </w:p>
    <w:p>
      <w:pPr>
        <w:spacing w:line="360" w:lineRule="auto"/>
        <w:ind w:firstLine="420" w:firstLineChars="200"/>
        <w:rPr>
          <w:rFonts w:ascii="宋体"/>
        </w:rPr>
      </w:pPr>
      <w:r>
        <w:rPr>
          <w:rFonts w:hint="eastAsia" w:ascii="宋体" w:hAnsi="宋体" w:cs="宋体"/>
        </w:rPr>
        <w:t>9、联系方式：</w:t>
      </w:r>
    </w:p>
    <w:p>
      <w:pPr>
        <w:spacing w:line="360" w:lineRule="auto"/>
        <w:rPr>
          <w:rFonts w:ascii="宋体" w:hAnsi="宋体" w:cs="宋体"/>
        </w:rPr>
      </w:pPr>
      <w:r>
        <w:rPr>
          <w:rFonts w:hint="eastAsia" w:ascii="宋体" w:hAnsi="宋体" w:cs="宋体"/>
        </w:rPr>
        <w:t>比 选 人：重庆国际投资咨询集团有限公司</w:t>
      </w:r>
    </w:p>
    <w:p>
      <w:pPr>
        <w:spacing w:line="360" w:lineRule="auto"/>
        <w:rPr>
          <w:rFonts w:ascii="宋体" w:hAnsi="宋体" w:cs="宋体"/>
        </w:rPr>
      </w:pPr>
      <w:r>
        <w:rPr>
          <w:rFonts w:hint="eastAsia" w:ascii="宋体" w:hAnsi="宋体" w:cs="宋体"/>
        </w:rPr>
        <w:t>地    址：重庆市江北区五里店五简路2号重咨大厦</w:t>
      </w:r>
    </w:p>
    <w:p>
      <w:pPr>
        <w:spacing w:line="360" w:lineRule="auto"/>
        <w:rPr>
          <w:rFonts w:ascii="宋体" w:hAnsi="宋体" w:cs="宋体"/>
        </w:rPr>
      </w:pPr>
      <w:r>
        <w:rPr>
          <w:rFonts w:hint="eastAsia" w:ascii="宋体" w:hAnsi="宋体" w:cs="宋体"/>
        </w:rPr>
        <w:t>联 系 人：朱女士</w:t>
      </w:r>
    </w:p>
    <w:p>
      <w:pPr>
        <w:spacing w:line="360" w:lineRule="auto"/>
      </w:pPr>
      <w:r>
        <w:rPr>
          <w:rFonts w:hint="eastAsia" w:ascii="宋体" w:hAnsi="宋体" w:cs="宋体"/>
        </w:rPr>
        <w:t>电    话：023-67705706</w:t>
      </w:r>
    </w:p>
    <w:p>
      <w:pPr>
        <w:spacing w:line="360" w:lineRule="auto"/>
        <w:rPr>
          <w:rFonts w:ascii="宋体" w:hAnsi="宋体" w:cs="宋体"/>
        </w:rPr>
      </w:pPr>
    </w:p>
    <w:p>
      <w:pPr>
        <w:spacing w:line="360" w:lineRule="auto"/>
        <w:rPr>
          <w:rFonts w:ascii="宋体"/>
        </w:rPr>
      </w:pPr>
      <w:r>
        <w:rPr>
          <w:rFonts w:hint="eastAsia" w:ascii="宋体" w:hAnsi="宋体" w:cs="宋体"/>
        </w:rPr>
        <w:t>代理机构：重庆招标采购（集团）有限责任公司</w:t>
      </w:r>
    </w:p>
    <w:p>
      <w:pPr>
        <w:spacing w:line="360" w:lineRule="auto"/>
        <w:rPr>
          <w:rFonts w:ascii="宋体"/>
        </w:rPr>
      </w:pPr>
      <w:r>
        <w:rPr>
          <w:rFonts w:hint="eastAsia" w:ascii="宋体" w:hAnsi="宋体" w:cs="宋体"/>
        </w:rPr>
        <w:t>地址：重庆市江北区五里店五简路</w:t>
      </w:r>
      <w:r>
        <w:rPr>
          <w:rFonts w:ascii="宋体" w:hAnsi="宋体" w:cs="宋体"/>
        </w:rPr>
        <w:t>2</w:t>
      </w:r>
      <w:r>
        <w:rPr>
          <w:rFonts w:hint="eastAsia" w:ascii="宋体" w:hAnsi="宋体" w:cs="宋体"/>
        </w:rPr>
        <w:t>号重庆咨询大厦</w:t>
      </w:r>
    </w:p>
    <w:p>
      <w:pPr>
        <w:spacing w:line="360" w:lineRule="auto"/>
        <w:rPr>
          <w:rFonts w:ascii="宋体"/>
        </w:rPr>
      </w:pPr>
      <w:r>
        <w:rPr>
          <w:rFonts w:hint="eastAsia" w:ascii="宋体" w:hAnsi="宋体" w:cs="宋体"/>
        </w:rPr>
        <w:t>联系人：王女士</w:t>
      </w:r>
    </w:p>
    <w:p>
      <w:pPr>
        <w:spacing w:line="360" w:lineRule="auto"/>
        <w:rPr>
          <w:rFonts w:ascii="宋体"/>
        </w:rPr>
      </w:pPr>
      <w:r>
        <w:rPr>
          <w:rFonts w:hint="eastAsia" w:ascii="宋体" w:hAnsi="宋体" w:cs="宋体"/>
        </w:rPr>
        <w:t>电话：023-67100375</w:t>
      </w:r>
    </w:p>
    <w:p>
      <w:pPr>
        <w:spacing w:line="360" w:lineRule="auto"/>
        <w:ind w:firstLine="470" w:firstLineChars="224"/>
        <w:jc w:val="center"/>
        <w:outlineLvl w:val="0"/>
        <w:rPr>
          <w:rFonts w:ascii="宋体"/>
          <w:sz w:val="28"/>
          <w:szCs w:val="28"/>
        </w:rPr>
      </w:pPr>
      <w:r>
        <w:rPr>
          <w:rFonts w:ascii="宋体"/>
        </w:rPr>
        <w:br w:type="page"/>
      </w:r>
      <w:bookmarkStart w:id="3" w:name="_Toc120633465"/>
      <w:r>
        <w:rPr>
          <w:rFonts w:hint="eastAsia" w:ascii="宋体" w:hAnsi="宋体" w:cs="宋体"/>
          <w:sz w:val="28"/>
          <w:szCs w:val="28"/>
        </w:rPr>
        <w:t>第二部分 比选须知</w:t>
      </w:r>
      <w:bookmarkEnd w:id="3"/>
    </w:p>
    <w:p>
      <w:pPr>
        <w:tabs>
          <w:tab w:val="left" w:pos="1800"/>
        </w:tabs>
        <w:spacing w:line="360" w:lineRule="auto"/>
        <w:ind w:right="-874" w:rightChars="-416"/>
        <w:outlineLvl w:val="1"/>
        <w:rPr>
          <w:rFonts w:ascii="宋体" w:hAnsi="宋体" w:cs="宋体"/>
          <w:b/>
          <w:bCs/>
          <w:u w:val="single"/>
        </w:rPr>
      </w:pPr>
      <w:bookmarkStart w:id="4" w:name="_Toc28329"/>
      <w:bookmarkStart w:id="5" w:name="_Toc32630"/>
      <w:bookmarkStart w:id="6" w:name="_Toc120633466"/>
      <w:r>
        <w:rPr>
          <w:rFonts w:hint="eastAsia" w:ascii="宋体" w:hAnsi="宋体" w:cs="宋体"/>
          <w:b/>
          <w:bCs/>
        </w:rPr>
        <w:t>一、项目名称：</w:t>
      </w:r>
      <w:bookmarkEnd w:id="4"/>
      <w:bookmarkEnd w:id="5"/>
      <w:bookmarkEnd w:id="6"/>
      <w:bookmarkStart w:id="7" w:name="_Toc5888"/>
      <w:bookmarkStart w:id="8" w:name="_Toc27802"/>
      <w:r>
        <w:rPr>
          <w:rFonts w:hint="eastAsia" w:ascii="宋体" w:hAnsi="宋体" w:cs="宋体"/>
        </w:rPr>
        <w:t>重咨集团网络与信息安全技术服务采购</w:t>
      </w:r>
    </w:p>
    <w:p>
      <w:pPr>
        <w:tabs>
          <w:tab w:val="left" w:pos="1800"/>
        </w:tabs>
        <w:spacing w:line="360" w:lineRule="auto"/>
        <w:ind w:right="-874" w:rightChars="-416"/>
        <w:outlineLvl w:val="1"/>
        <w:rPr>
          <w:rFonts w:ascii="宋体"/>
          <w:b/>
          <w:bCs/>
        </w:rPr>
      </w:pPr>
      <w:bookmarkStart w:id="9" w:name="_Toc120633467"/>
      <w:r>
        <w:rPr>
          <w:rFonts w:hint="eastAsia" w:ascii="宋体" w:hAnsi="宋体" w:cs="宋体"/>
          <w:b/>
          <w:bCs/>
        </w:rPr>
        <w:t>二、比选申请人资格要求：</w:t>
      </w:r>
      <w:bookmarkEnd w:id="7"/>
      <w:bookmarkEnd w:id="8"/>
      <w:bookmarkEnd w:id="9"/>
    </w:p>
    <w:p>
      <w:pPr>
        <w:tabs>
          <w:tab w:val="left" w:pos="1800"/>
        </w:tabs>
        <w:spacing w:line="360" w:lineRule="auto"/>
        <w:ind w:right="-874" w:rightChars="-416" w:firstLine="420" w:firstLineChars="200"/>
        <w:outlineLvl w:val="1"/>
        <w:rPr>
          <w:rFonts w:ascii="宋体" w:hAnsi="宋体" w:cs="宋体"/>
        </w:rPr>
      </w:pPr>
      <w:bookmarkStart w:id="10" w:name="_Toc120633472"/>
      <w:bookmarkStart w:id="11" w:name="_Toc2986"/>
      <w:bookmarkStart w:id="12" w:name="_Toc28087"/>
      <w:r>
        <w:rPr>
          <w:rFonts w:hint="eastAsia" w:ascii="宋体" w:hAnsi="宋体" w:cs="宋体"/>
        </w:rPr>
        <w:t>1、具有有效的营业执照或法人证书</w:t>
      </w:r>
      <w:r>
        <w:rPr>
          <w:rFonts w:hint="eastAsia" w:ascii="宋体" w:hAnsi="宋体" w:cs="宋体"/>
          <w:b/>
          <w:bCs/>
        </w:rPr>
        <w:t>[提供营业执照或法人证书复印件并加盖公章]</w:t>
      </w:r>
      <w:r>
        <w:rPr>
          <w:rFonts w:hint="eastAsia" w:ascii="宋体" w:hAnsi="宋体" w:cs="宋体"/>
        </w:rPr>
        <w:t>；</w:t>
      </w:r>
    </w:p>
    <w:p>
      <w:pPr>
        <w:tabs>
          <w:tab w:val="left" w:pos="1800"/>
        </w:tabs>
        <w:spacing w:line="360" w:lineRule="auto"/>
        <w:ind w:right="-874" w:rightChars="-416" w:firstLine="420" w:firstLineChars="200"/>
        <w:outlineLvl w:val="1"/>
        <w:rPr>
          <w:rFonts w:ascii="宋体" w:hAnsi="宋体" w:cs="宋体"/>
        </w:rPr>
      </w:pPr>
      <w:r>
        <w:rPr>
          <w:rFonts w:hint="eastAsia" w:ascii="宋体" w:hAnsi="宋体" w:cs="宋体"/>
        </w:rPr>
        <w:t>2、具有良好的商业信誉和健全的财务会计制度</w:t>
      </w:r>
      <w:r>
        <w:rPr>
          <w:rFonts w:hint="eastAsia" w:ascii="宋体" w:hAnsi="宋体" w:cs="宋体"/>
          <w:b/>
          <w:bCs/>
        </w:rPr>
        <w:t>[比选申请人自行承诺（格式自拟）并加盖公章]</w:t>
      </w:r>
      <w:r>
        <w:rPr>
          <w:rFonts w:hint="eastAsia" w:ascii="宋体" w:hAnsi="宋体" w:cs="宋体"/>
        </w:rPr>
        <w:t>；</w:t>
      </w:r>
    </w:p>
    <w:p>
      <w:pPr>
        <w:tabs>
          <w:tab w:val="left" w:pos="1800"/>
        </w:tabs>
        <w:spacing w:line="360" w:lineRule="auto"/>
        <w:ind w:right="-874" w:rightChars="-416" w:firstLine="420" w:firstLineChars="200"/>
        <w:outlineLvl w:val="1"/>
        <w:rPr>
          <w:rFonts w:ascii="宋体" w:hAnsi="宋体" w:cs="宋体"/>
        </w:rPr>
      </w:pPr>
      <w:r>
        <w:rPr>
          <w:rFonts w:hint="eastAsia" w:ascii="宋体" w:hAnsi="宋体" w:cs="宋体"/>
        </w:rPr>
        <w:t>3、具备履行合同所必需的设备或工具（包括但不限于漏洞扫描器、渗透测试工具等）和专业技术能力（包括但不限于2个高级或以上、3个中级或以上相关职称人员）</w:t>
      </w:r>
      <w:r>
        <w:rPr>
          <w:rFonts w:hint="eastAsia" w:ascii="宋体" w:hAnsi="宋体" w:cs="宋体"/>
          <w:b/>
          <w:bCs/>
        </w:rPr>
        <w:t>[比选申请人自行承诺（格式自拟）并加盖公章]</w:t>
      </w:r>
      <w:r>
        <w:rPr>
          <w:rFonts w:hint="eastAsia" w:ascii="宋体" w:hAnsi="宋体" w:cs="宋体"/>
        </w:rPr>
        <w:t>；</w:t>
      </w:r>
    </w:p>
    <w:p>
      <w:pPr>
        <w:tabs>
          <w:tab w:val="left" w:pos="1800"/>
        </w:tabs>
        <w:spacing w:line="360" w:lineRule="auto"/>
        <w:ind w:right="-874" w:rightChars="-416" w:firstLine="420" w:firstLineChars="200"/>
        <w:outlineLvl w:val="1"/>
        <w:rPr>
          <w:rFonts w:ascii="宋体" w:hAnsi="宋体" w:cs="宋体"/>
        </w:rPr>
      </w:pPr>
      <w:r>
        <w:rPr>
          <w:rFonts w:hint="eastAsia" w:ascii="宋体" w:hAnsi="宋体" w:cs="宋体"/>
        </w:rPr>
        <w:t>4、有依法缴纳税收和社会保障资金的良好记录</w:t>
      </w:r>
      <w:r>
        <w:rPr>
          <w:rFonts w:hint="eastAsia" w:ascii="宋体" w:hAnsi="宋体" w:cs="宋体"/>
          <w:b/>
          <w:bCs/>
        </w:rPr>
        <w:t>[比选申请人自行承诺（格式自拟）并加盖公章]</w:t>
      </w:r>
      <w:r>
        <w:rPr>
          <w:rFonts w:hint="eastAsia" w:ascii="宋体" w:hAnsi="宋体" w:cs="宋体"/>
        </w:rPr>
        <w:t>；</w:t>
      </w:r>
    </w:p>
    <w:p>
      <w:pPr>
        <w:tabs>
          <w:tab w:val="left" w:pos="1800"/>
        </w:tabs>
        <w:spacing w:line="360" w:lineRule="auto"/>
        <w:ind w:right="-874" w:rightChars="-416" w:firstLine="420" w:firstLineChars="200"/>
        <w:outlineLvl w:val="1"/>
        <w:rPr>
          <w:rFonts w:ascii="宋体" w:hAnsi="宋体" w:cs="宋体"/>
        </w:rPr>
      </w:pPr>
      <w:r>
        <w:rPr>
          <w:rFonts w:hint="eastAsia" w:ascii="宋体" w:hAnsi="宋体" w:cs="宋体"/>
        </w:rPr>
        <w:t>5、近三年内，在经营活动中没有重大违法记录</w:t>
      </w:r>
      <w:r>
        <w:rPr>
          <w:rFonts w:hint="eastAsia" w:ascii="宋体" w:hAnsi="宋体" w:cs="宋体"/>
          <w:b/>
          <w:bCs/>
        </w:rPr>
        <w:t>[比选申请人自行承诺（格式自拟）并加盖公章]</w:t>
      </w:r>
      <w:r>
        <w:rPr>
          <w:rFonts w:hint="eastAsia" w:ascii="宋体" w:hAnsi="宋体" w:cs="宋体"/>
        </w:rPr>
        <w:t>；</w:t>
      </w:r>
    </w:p>
    <w:p>
      <w:pPr>
        <w:tabs>
          <w:tab w:val="left" w:pos="1800"/>
        </w:tabs>
        <w:spacing w:line="360" w:lineRule="auto"/>
        <w:ind w:right="-874" w:rightChars="-416" w:firstLine="420" w:firstLineChars="200"/>
        <w:outlineLvl w:val="1"/>
        <w:rPr>
          <w:rFonts w:ascii="宋体" w:hAnsi="宋体" w:cs="宋体"/>
        </w:rPr>
      </w:pPr>
      <w:r>
        <w:rPr>
          <w:rFonts w:hint="eastAsia" w:ascii="宋体" w:hAnsi="宋体" w:cs="宋体"/>
        </w:rPr>
        <w:t>6、具有IS09001质量管理体系认证证书</w:t>
      </w:r>
      <w:r>
        <w:rPr>
          <w:rFonts w:hint="eastAsia" w:ascii="宋体" w:hAnsi="宋体" w:cs="宋体"/>
          <w:b/>
          <w:bCs/>
        </w:rPr>
        <w:t>[提供有效的证书复印件并加盖公章]</w:t>
      </w:r>
      <w:r>
        <w:rPr>
          <w:rFonts w:hint="eastAsia" w:ascii="宋体" w:hAnsi="宋体" w:cs="宋体"/>
        </w:rPr>
        <w:t>；</w:t>
      </w:r>
    </w:p>
    <w:p>
      <w:pPr>
        <w:tabs>
          <w:tab w:val="left" w:pos="1800"/>
        </w:tabs>
        <w:spacing w:line="360" w:lineRule="auto"/>
        <w:ind w:right="-874" w:rightChars="-416" w:firstLine="420" w:firstLineChars="200"/>
        <w:outlineLvl w:val="1"/>
        <w:rPr>
          <w:rFonts w:ascii="宋体" w:hAnsi="宋体" w:cs="宋体"/>
        </w:rPr>
      </w:pPr>
      <w:r>
        <w:rPr>
          <w:rFonts w:hint="eastAsia" w:ascii="宋体" w:hAnsi="宋体" w:cs="宋体"/>
        </w:rPr>
        <w:t>7、具有ISO27001信息安全管理体系认证证书</w:t>
      </w:r>
      <w:r>
        <w:rPr>
          <w:rFonts w:hint="eastAsia" w:ascii="宋体" w:hAnsi="宋体" w:cs="宋体"/>
          <w:b/>
          <w:bCs/>
        </w:rPr>
        <w:t>[提供有效的证书复印件并加盖公章]</w:t>
      </w:r>
      <w:r>
        <w:rPr>
          <w:rFonts w:hint="eastAsia" w:ascii="宋体" w:hAnsi="宋体" w:cs="宋体"/>
        </w:rPr>
        <w:t>；</w:t>
      </w:r>
    </w:p>
    <w:p>
      <w:pPr>
        <w:tabs>
          <w:tab w:val="left" w:pos="1800"/>
        </w:tabs>
        <w:spacing w:line="360" w:lineRule="auto"/>
        <w:ind w:right="-874" w:rightChars="-416" w:firstLine="420" w:firstLineChars="200"/>
        <w:outlineLvl w:val="1"/>
        <w:rPr>
          <w:rFonts w:ascii="宋体" w:hAnsi="宋体" w:cs="宋体"/>
        </w:rPr>
      </w:pPr>
      <w:r>
        <w:rPr>
          <w:rFonts w:ascii="宋体" w:hAnsi="宋体" w:cs="宋体"/>
        </w:rPr>
        <w:t>8</w:t>
      </w:r>
      <w:r>
        <w:rPr>
          <w:rFonts w:hint="eastAsia" w:ascii="宋体" w:hAnsi="宋体" w:cs="宋体"/>
        </w:rPr>
        <w:t>、具有CCRC信息安全服务风险评估资质认证证书</w:t>
      </w:r>
      <w:r>
        <w:rPr>
          <w:rFonts w:hint="eastAsia" w:ascii="宋体" w:hAnsi="宋体" w:cs="宋体"/>
          <w:b/>
          <w:bCs/>
        </w:rPr>
        <w:t>[提供有效的证书复印件并加盖公章]</w:t>
      </w:r>
      <w:r>
        <w:rPr>
          <w:rFonts w:hint="eastAsia" w:ascii="宋体" w:hAnsi="宋体" w:cs="宋体"/>
        </w:rPr>
        <w:t>；</w:t>
      </w:r>
    </w:p>
    <w:p>
      <w:pPr>
        <w:tabs>
          <w:tab w:val="left" w:pos="1800"/>
        </w:tabs>
        <w:spacing w:line="360" w:lineRule="auto"/>
        <w:ind w:right="-874" w:rightChars="-416"/>
        <w:outlineLvl w:val="1"/>
        <w:rPr>
          <w:rFonts w:ascii="宋体"/>
          <w:b/>
          <w:bCs/>
        </w:rPr>
      </w:pPr>
      <w:r>
        <w:rPr>
          <w:rFonts w:hint="eastAsia" w:ascii="宋体" w:hAnsi="宋体" w:cs="宋体"/>
          <w:b/>
          <w:bCs/>
        </w:rPr>
        <w:t>三、比选限价、报价、评分说明</w:t>
      </w:r>
      <w:r>
        <w:rPr>
          <w:rFonts w:ascii="宋体" w:hAnsi="宋体" w:cs="宋体"/>
          <w:b/>
          <w:bCs/>
        </w:rPr>
        <w:t>:</w:t>
      </w:r>
      <w:bookmarkEnd w:id="10"/>
      <w:bookmarkEnd w:id="11"/>
      <w:bookmarkEnd w:id="12"/>
    </w:p>
    <w:p>
      <w:pPr>
        <w:tabs>
          <w:tab w:val="left" w:pos="1800"/>
        </w:tabs>
        <w:spacing w:line="360" w:lineRule="auto"/>
        <w:ind w:right="-874" w:rightChars="-416" w:firstLine="420" w:firstLineChars="200"/>
        <w:outlineLvl w:val="1"/>
        <w:rPr>
          <w:rFonts w:ascii="宋体" w:hAnsi="宋体" w:cs="宋体"/>
        </w:rPr>
      </w:pPr>
      <w:bookmarkStart w:id="13" w:name="_Toc25906"/>
      <w:bookmarkStart w:id="14" w:name="_Toc120633473"/>
      <w:r>
        <w:rPr>
          <w:rFonts w:hint="eastAsia" w:ascii="宋体" w:hAnsi="宋体" w:cs="宋体"/>
        </w:rPr>
        <w:t>1、本项目比选申请最高限价为500000元</w:t>
      </w:r>
      <w:bookmarkEnd w:id="13"/>
      <w:r>
        <w:rPr>
          <w:rFonts w:hint="eastAsia" w:ascii="宋体" w:hAnsi="宋体" w:cs="宋体"/>
        </w:rPr>
        <w:t>。比选申请人的比选申请报价不得超过比选人设置的最高限价，否则作否决投标处理。比选申请人自行组织踏勘现场、结合自身实际情况自主报价（报价保留小数点后两位）。</w:t>
      </w:r>
      <w:bookmarkEnd w:id="14"/>
    </w:p>
    <w:p>
      <w:pPr>
        <w:tabs>
          <w:tab w:val="left" w:pos="1800"/>
        </w:tabs>
        <w:spacing w:line="360" w:lineRule="auto"/>
        <w:ind w:right="-874" w:rightChars="-416" w:firstLine="420" w:firstLineChars="200"/>
        <w:outlineLvl w:val="1"/>
        <w:rPr>
          <w:rFonts w:ascii="宋体" w:hAnsi="宋体" w:cs="宋体"/>
        </w:rPr>
      </w:pPr>
      <w:bookmarkStart w:id="15" w:name="_Toc20735"/>
      <w:bookmarkStart w:id="16" w:name="_Toc120633474"/>
      <w:r>
        <w:rPr>
          <w:rFonts w:hint="eastAsia" w:ascii="宋体" w:hAnsi="宋体" w:cs="宋体"/>
        </w:rPr>
        <w:t>2、该比选申请报价包括但不限于完成本项目的人工费、材料费（含损耗）、机械费、运输费、装卸车库、措施费、企业管理费及利润、风险费用（包括但不限于可能出现的材料市场波动、政策性调整等因素）、规费、税金等一切费</w:t>
      </w:r>
      <w:bookmarkEnd w:id="15"/>
      <w:bookmarkEnd w:id="16"/>
      <w:r>
        <w:rPr>
          <w:rFonts w:hint="eastAsia" w:ascii="宋体" w:hAnsi="宋体" w:cs="宋体"/>
        </w:rPr>
        <w:t>用。</w:t>
      </w:r>
    </w:p>
    <w:p>
      <w:pPr>
        <w:pStyle w:val="13"/>
        <w:spacing w:line="360" w:lineRule="auto"/>
        <w:rPr>
          <w:color w:val="000000"/>
        </w:rPr>
      </w:pPr>
      <w:r>
        <w:rPr>
          <w:rFonts w:hint="eastAsia"/>
          <w:sz w:val="21"/>
          <w:szCs w:val="21"/>
        </w:rPr>
        <w:t>3</w:t>
      </w:r>
      <w:r>
        <w:rPr>
          <w:rFonts w:hint="eastAsia"/>
        </w:rPr>
        <w:t>、</w:t>
      </w:r>
      <w:r>
        <w:rPr>
          <w:rFonts w:hint="eastAsia"/>
          <w:sz w:val="21"/>
          <w:szCs w:val="21"/>
        </w:rPr>
        <w:t>评分说明：采用综合评估法。</w:t>
      </w:r>
    </w:p>
    <w:p>
      <w:pPr>
        <w:snapToGrid w:val="0"/>
        <w:spacing w:line="360" w:lineRule="auto"/>
        <w:outlineLvl w:val="1"/>
        <w:rPr>
          <w:rFonts w:ascii="宋体" w:hAnsi="宋体" w:cs="宋体"/>
        </w:rPr>
      </w:pPr>
      <w:bookmarkStart w:id="17" w:name="_Toc3791"/>
      <w:bookmarkStart w:id="18" w:name="_Toc120633475"/>
      <w:bookmarkStart w:id="19" w:name="_Toc9356"/>
      <w:r>
        <w:rPr>
          <w:rFonts w:hint="eastAsia" w:ascii="宋体" w:hAnsi="宋体" w:cs="宋体"/>
          <w:b/>
          <w:bCs/>
        </w:rPr>
        <w:t>四、报价及结算币种：</w:t>
      </w:r>
      <w:r>
        <w:rPr>
          <w:rFonts w:hint="eastAsia" w:ascii="宋体" w:hAnsi="宋体" w:cs="宋体"/>
        </w:rPr>
        <w:t>人民币。</w:t>
      </w:r>
      <w:bookmarkEnd w:id="17"/>
      <w:bookmarkEnd w:id="18"/>
      <w:bookmarkEnd w:id="19"/>
    </w:p>
    <w:p>
      <w:pPr>
        <w:snapToGrid w:val="0"/>
        <w:spacing w:line="360" w:lineRule="auto"/>
        <w:outlineLvl w:val="1"/>
        <w:rPr>
          <w:rFonts w:ascii="宋体" w:hAnsi="宋体" w:cs="宋体"/>
          <w:b/>
          <w:bCs/>
        </w:rPr>
      </w:pPr>
      <w:r>
        <w:rPr>
          <w:rFonts w:hint="eastAsia" w:ascii="宋体" w:hAnsi="宋体" w:cs="宋体"/>
          <w:b/>
          <w:bCs/>
        </w:rPr>
        <w:t>五、结算方式：</w:t>
      </w:r>
    </w:p>
    <w:p>
      <w:pPr>
        <w:snapToGrid w:val="0"/>
        <w:spacing w:line="360" w:lineRule="auto"/>
        <w:ind w:firstLine="420" w:firstLineChars="200"/>
        <w:outlineLvl w:val="1"/>
        <w:rPr>
          <w:rFonts w:ascii="宋体" w:hAnsi="宋体" w:cs="宋体"/>
        </w:rPr>
      </w:pPr>
      <w:bookmarkStart w:id="20" w:name="_Toc120633476"/>
      <w:bookmarkStart w:id="21" w:name="_Toc30064"/>
      <w:bookmarkStart w:id="22" w:name="_Toc10726"/>
      <w:r>
        <w:rPr>
          <w:rFonts w:hint="eastAsia" w:ascii="宋体" w:hAnsi="宋体" w:cs="宋体"/>
        </w:rPr>
        <w:t xml:space="preserve">1、合同签订后 10 个工作日内，支付合同总额的 30%； </w:t>
      </w:r>
    </w:p>
    <w:p>
      <w:pPr>
        <w:snapToGrid w:val="0"/>
        <w:spacing w:line="360" w:lineRule="auto"/>
        <w:ind w:firstLine="420" w:firstLineChars="200"/>
        <w:outlineLvl w:val="1"/>
        <w:rPr>
          <w:rFonts w:ascii="宋体" w:hAnsi="宋体" w:cs="宋体"/>
        </w:rPr>
      </w:pPr>
      <w:r>
        <w:rPr>
          <w:rFonts w:hint="eastAsia" w:ascii="宋体" w:hAnsi="宋体" w:cs="宋体"/>
        </w:rPr>
        <w:t>2、完成安全基础梳理和摸底、网络与信息安全风险评估和数据安全风险评估，出具相应报告，通过甲方验收后 10 个工作日内，支付合同总额的30%；</w:t>
      </w:r>
    </w:p>
    <w:p>
      <w:pPr>
        <w:snapToGrid w:val="0"/>
        <w:spacing w:line="360" w:lineRule="auto"/>
        <w:ind w:firstLine="420" w:firstLineChars="200"/>
        <w:outlineLvl w:val="1"/>
        <w:rPr>
          <w:rFonts w:ascii="宋体" w:hAnsi="宋体" w:cs="宋体"/>
        </w:rPr>
      </w:pPr>
      <w:r>
        <w:rPr>
          <w:rFonts w:hint="eastAsia" w:ascii="宋体" w:hAnsi="宋体" w:cs="宋体"/>
        </w:rPr>
        <w:t>3、完成全部服务内容并提交相关成果文件后 10 个工作日内，支付合同总额的40%。</w:t>
      </w:r>
    </w:p>
    <w:p>
      <w:pPr>
        <w:snapToGrid w:val="0"/>
        <w:spacing w:line="360" w:lineRule="auto"/>
        <w:outlineLvl w:val="1"/>
        <w:rPr>
          <w:rFonts w:ascii="宋体"/>
        </w:rPr>
      </w:pPr>
      <w:r>
        <w:rPr>
          <w:rFonts w:hint="eastAsia" w:ascii="宋体" w:hAnsi="宋体" w:cs="宋体"/>
          <w:b/>
          <w:bCs/>
        </w:rPr>
        <w:t>六、比选有效期：</w:t>
      </w:r>
      <w:r>
        <w:rPr>
          <w:rFonts w:ascii="宋体" w:hAnsi="宋体" w:cs="宋体"/>
          <w:u w:val="single"/>
        </w:rPr>
        <w:t>90</w:t>
      </w:r>
      <w:r>
        <w:rPr>
          <w:rFonts w:hint="eastAsia" w:ascii="宋体" w:hAnsi="宋体" w:cs="宋体"/>
        </w:rPr>
        <w:t>日历天（从提交比选申请文件截止日起计算）</w:t>
      </w:r>
      <w:bookmarkEnd w:id="20"/>
      <w:bookmarkEnd w:id="21"/>
      <w:bookmarkEnd w:id="22"/>
    </w:p>
    <w:p>
      <w:pPr>
        <w:tabs>
          <w:tab w:val="left" w:pos="1080"/>
        </w:tabs>
        <w:spacing w:line="360" w:lineRule="auto"/>
        <w:outlineLvl w:val="1"/>
        <w:rPr>
          <w:rFonts w:ascii="宋体"/>
          <w:b/>
          <w:bCs/>
        </w:rPr>
      </w:pPr>
      <w:bookmarkStart w:id="23" w:name="_Toc120633477"/>
      <w:bookmarkStart w:id="24" w:name="_Toc15441"/>
      <w:bookmarkStart w:id="25" w:name="_Toc17630"/>
      <w:r>
        <w:rPr>
          <w:rFonts w:hint="eastAsia" w:ascii="宋体" w:hAnsi="宋体" w:cs="宋体"/>
          <w:b/>
          <w:bCs/>
        </w:rPr>
        <w:t>七、比选申请文件的组成：</w:t>
      </w:r>
      <w:bookmarkEnd w:id="23"/>
      <w:bookmarkEnd w:id="24"/>
      <w:bookmarkEnd w:id="25"/>
    </w:p>
    <w:p>
      <w:pPr>
        <w:spacing w:line="360" w:lineRule="auto"/>
        <w:ind w:firstLine="420" w:firstLineChars="200"/>
        <w:rPr>
          <w:rFonts w:ascii="宋体"/>
        </w:rPr>
      </w:pPr>
      <w:r>
        <w:rPr>
          <w:rFonts w:hint="eastAsia" w:ascii="宋体" w:hAnsi="宋体" w:cs="宋体"/>
        </w:rPr>
        <w:t>比选申请函；</w:t>
      </w:r>
    </w:p>
    <w:p>
      <w:pPr>
        <w:spacing w:line="360" w:lineRule="auto"/>
        <w:ind w:firstLine="420" w:firstLineChars="200"/>
        <w:rPr>
          <w:rFonts w:ascii="宋体"/>
        </w:rPr>
      </w:pPr>
      <w:r>
        <w:rPr>
          <w:rFonts w:hint="eastAsia" w:ascii="宋体" w:hAnsi="宋体" w:cs="宋体"/>
        </w:rPr>
        <w:t>法定代表人授权书及法定代表人身份证明；</w:t>
      </w:r>
    </w:p>
    <w:p>
      <w:pPr>
        <w:spacing w:line="360" w:lineRule="auto"/>
        <w:ind w:firstLine="420" w:firstLineChars="200"/>
        <w:rPr>
          <w:rFonts w:ascii="宋体"/>
        </w:rPr>
      </w:pPr>
      <w:r>
        <w:rPr>
          <w:rFonts w:hint="eastAsia" w:ascii="宋体" w:hAnsi="宋体" w:cs="宋体"/>
        </w:rPr>
        <w:t>比选文件规定的其它资料。</w:t>
      </w:r>
    </w:p>
    <w:p>
      <w:pPr>
        <w:pStyle w:val="12"/>
        <w:spacing w:line="360" w:lineRule="auto"/>
        <w:ind w:firstLine="420" w:firstLineChars="200"/>
        <w:rPr>
          <w:rFonts w:cs="Times New Roman"/>
          <w:sz w:val="21"/>
          <w:szCs w:val="21"/>
        </w:rPr>
      </w:pPr>
      <w:r>
        <w:rPr>
          <w:rFonts w:hint="eastAsia"/>
          <w:sz w:val="21"/>
          <w:szCs w:val="21"/>
        </w:rPr>
        <w:t>注意：以上资料应提供复印件并加盖单位公章，否则作否决竞选处理。比选申请文件应提交正本1份，副本1份，正副本分别装订成册，并应编制目录、标注页码，装订后放入一大袋，必须保证比选申请文件密封并在大袋上加盖比选申请人单位公章，否则，比选人对由于比选申请文件装订松散而造成的丢失或其他后果不承担任何责任。未按规定密封的比选申请文件将被拒收。</w:t>
      </w:r>
    </w:p>
    <w:p>
      <w:pPr>
        <w:numPr>
          <w:ilvl w:val="0"/>
          <w:numId w:val="2"/>
        </w:numPr>
        <w:spacing w:line="360" w:lineRule="auto"/>
        <w:rPr>
          <w:rFonts w:ascii="宋体" w:hAnsi="宋体" w:cs="宋体"/>
          <w:b/>
          <w:bCs/>
        </w:rPr>
      </w:pPr>
      <w:r>
        <w:rPr>
          <w:rFonts w:hint="eastAsia" w:ascii="宋体" w:hAnsi="宋体" w:cs="宋体"/>
          <w:b/>
          <w:bCs/>
        </w:rPr>
        <w:t>比选原则（综合评估法）：</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415"/>
        <w:gridCol w:w="1578"/>
        <w:gridCol w:w="175"/>
        <w:gridCol w:w="5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20" w:type="dxa"/>
            <w:vAlign w:val="center"/>
          </w:tcPr>
          <w:p>
            <w:pPr>
              <w:spacing w:line="400" w:lineRule="exact"/>
              <w:jc w:val="center"/>
              <w:rPr>
                <w:rFonts w:ascii="宋体" w:hAnsi="宋体" w:cs="宋体"/>
                <w:b/>
                <w:kern w:val="0"/>
              </w:rPr>
            </w:pPr>
            <w:bookmarkStart w:id="26" w:name="CQZH1_07"/>
            <w:r>
              <w:rPr>
                <w:rFonts w:hint="eastAsia" w:ascii="宋体" w:hAnsi="宋体" w:cs="宋体"/>
                <w:b/>
                <w:kern w:val="0"/>
              </w:rPr>
              <w:t>条款号</w:t>
            </w:r>
          </w:p>
        </w:tc>
        <w:tc>
          <w:tcPr>
            <w:tcW w:w="1415" w:type="dxa"/>
            <w:vAlign w:val="center"/>
          </w:tcPr>
          <w:p>
            <w:pPr>
              <w:spacing w:line="400" w:lineRule="exact"/>
              <w:jc w:val="center"/>
              <w:rPr>
                <w:rFonts w:ascii="宋体" w:hAnsi="宋体" w:cs="宋体"/>
                <w:b/>
                <w:kern w:val="0"/>
              </w:rPr>
            </w:pPr>
            <w:r>
              <w:rPr>
                <w:rFonts w:hint="eastAsia" w:ascii="宋体" w:hAnsi="宋体" w:cs="宋体"/>
                <w:b/>
                <w:kern w:val="0"/>
              </w:rPr>
              <w:t>评审因素</w:t>
            </w:r>
          </w:p>
        </w:tc>
        <w:tc>
          <w:tcPr>
            <w:tcW w:w="7229" w:type="dxa"/>
            <w:gridSpan w:val="3"/>
            <w:vAlign w:val="center"/>
          </w:tcPr>
          <w:p>
            <w:pPr>
              <w:spacing w:line="400" w:lineRule="exact"/>
              <w:jc w:val="center"/>
              <w:rPr>
                <w:rFonts w:ascii="宋体" w:hAnsi="宋体" w:cs="宋体"/>
                <w:b/>
                <w:kern w:val="0"/>
              </w:rPr>
            </w:pPr>
            <w:r>
              <w:rPr>
                <w:rFonts w:hint="eastAsia" w:ascii="宋体" w:hAnsi="宋体" w:cs="宋体"/>
                <w:b/>
                <w:kern w:val="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820" w:type="dxa"/>
            <w:vMerge w:val="restart"/>
            <w:vAlign w:val="center"/>
          </w:tcPr>
          <w:p>
            <w:pPr>
              <w:spacing w:line="400" w:lineRule="exact"/>
              <w:jc w:val="center"/>
              <w:rPr>
                <w:rFonts w:ascii="宋体" w:hAnsi="宋体" w:cs="宋体"/>
                <w:kern w:val="0"/>
              </w:rPr>
            </w:pPr>
            <w:r>
              <w:rPr>
                <w:rFonts w:hint="eastAsia" w:ascii="宋体" w:hAnsi="宋体" w:cs="宋体"/>
                <w:kern w:val="0"/>
              </w:rPr>
              <w:t>2.1.1</w:t>
            </w:r>
          </w:p>
        </w:tc>
        <w:tc>
          <w:tcPr>
            <w:tcW w:w="1415" w:type="dxa"/>
            <w:vMerge w:val="restart"/>
            <w:textDirection w:val="tbRlV"/>
            <w:vAlign w:val="center"/>
          </w:tcPr>
          <w:p>
            <w:pPr>
              <w:spacing w:line="400" w:lineRule="exact"/>
              <w:ind w:left="113" w:right="113"/>
              <w:jc w:val="center"/>
              <w:rPr>
                <w:rFonts w:ascii="宋体" w:hAnsi="宋体" w:cs="宋体"/>
                <w:kern w:val="0"/>
              </w:rPr>
            </w:pPr>
            <w:r>
              <w:rPr>
                <w:rFonts w:hint="eastAsia" w:ascii="宋体" w:hAnsi="宋体" w:cs="宋体"/>
                <w:kern w:val="0"/>
              </w:rPr>
              <w:t>形式评审标准</w:t>
            </w:r>
          </w:p>
        </w:tc>
        <w:tc>
          <w:tcPr>
            <w:tcW w:w="1753" w:type="dxa"/>
            <w:gridSpan w:val="2"/>
            <w:vAlign w:val="center"/>
          </w:tcPr>
          <w:p>
            <w:pPr>
              <w:spacing w:line="360" w:lineRule="auto"/>
              <w:jc w:val="center"/>
              <w:rPr>
                <w:rFonts w:ascii="宋体" w:hAnsi="宋体" w:cs="宋体"/>
                <w:kern w:val="0"/>
              </w:rPr>
            </w:pPr>
            <w:r>
              <w:rPr>
                <w:rFonts w:hint="eastAsia" w:ascii="宋体" w:hAnsi="宋体" w:cs="宋体"/>
                <w:kern w:val="0"/>
              </w:rPr>
              <w:t>比选申请人名称</w:t>
            </w:r>
          </w:p>
        </w:tc>
        <w:tc>
          <w:tcPr>
            <w:tcW w:w="5476" w:type="dxa"/>
            <w:vAlign w:val="center"/>
          </w:tcPr>
          <w:p>
            <w:pPr>
              <w:spacing w:line="360" w:lineRule="auto"/>
              <w:ind w:firstLine="420" w:firstLineChars="200"/>
              <w:rPr>
                <w:rFonts w:ascii="宋体" w:hAnsi="宋体" w:cs="宋体"/>
                <w:kern w:val="0"/>
              </w:rPr>
            </w:pPr>
            <w:r>
              <w:rPr>
                <w:rFonts w:hint="eastAsia" w:ascii="宋体" w:hAnsi="宋体" w:cs="宋体"/>
                <w:kern w:val="0"/>
              </w:rPr>
              <w:t>与营业执照、资质一致，依法变更名称的应提交相应证明材料。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820" w:type="dxa"/>
            <w:vMerge w:val="continue"/>
          </w:tcPr>
          <w:p>
            <w:pPr>
              <w:spacing w:line="400" w:lineRule="exact"/>
              <w:rPr>
                <w:rFonts w:ascii="宋体" w:hAnsi="宋体" w:cs="宋体"/>
              </w:rPr>
            </w:pPr>
          </w:p>
        </w:tc>
        <w:tc>
          <w:tcPr>
            <w:tcW w:w="1415" w:type="dxa"/>
            <w:vMerge w:val="continue"/>
            <w:vAlign w:val="center"/>
          </w:tcPr>
          <w:p>
            <w:pPr>
              <w:spacing w:line="400" w:lineRule="exact"/>
              <w:jc w:val="center"/>
              <w:rPr>
                <w:rFonts w:ascii="宋体" w:hAnsi="宋体" w:cs="宋体"/>
              </w:rPr>
            </w:pPr>
          </w:p>
        </w:tc>
        <w:tc>
          <w:tcPr>
            <w:tcW w:w="1753" w:type="dxa"/>
            <w:gridSpan w:val="2"/>
            <w:vAlign w:val="center"/>
          </w:tcPr>
          <w:p>
            <w:pPr>
              <w:spacing w:line="360" w:lineRule="auto"/>
              <w:jc w:val="center"/>
              <w:rPr>
                <w:rFonts w:ascii="宋体" w:hAnsi="宋体" w:cs="宋体"/>
                <w:kern w:val="0"/>
              </w:rPr>
            </w:pPr>
            <w:r>
              <w:rPr>
                <w:rFonts w:hint="eastAsia" w:ascii="宋体" w:hAnsi="宋体" w:cs="宋体"/>
                <w:kern w:val="0"/>
              </w:rPr>
              <w:t>比选申请文件份数</w:t>
            </w:r>
          </w:p>
        </w:tc>
        <w:tc>
          <w:tcPr>
            <w:tcW w:w="5476" w:type="dxa"/>
            <w:vAlign w:val="center"/>
          </w:tcPr>
          <w:p>
            <w:pPr>
              <w:spacing w:line="360" w:lineRule="auto"/>
              <w:ind w:firstLine="420" w:firstLineChars="200"/>
              <w:rPr>
                <w:rFonts w:ascii="宋体" w:hAnsi="宋体" w:cs="宋体"/>
                <w:kern w:val="0"/>
              </w:rPr>
            </w:pPr>
            <w:r>
              <w:rPr>
                <w:rFonts w:hint="eastAsia" w:ascii="宋体" w:hAnsi="宋体" w:cs="宋体"/>
                <w:kern w:val="0"/>
              </w:rPr>
              <w:t>符合比选文件规定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820" w:type="dxa"/>
            <w:vMerge w:val="continue"/>
          </w:tcPr>
          <w:p>
            <w:pPr>
              <w:spacing w:line="400" w:lineRule="exact"/>
              <w:rPr>
                <w:rFonts w:ascii="宋体" w:hAnsi="宋体" w:cs="宋体"/>
              </w:rPr>
            </w:pPr>
          </w:p>
        </w:tc>
        <w:tc>
          <w:tcPr>
            <w:tcW w:w="1415" w:type="dxa"/>
            <w:vMerge w:val="continue"/>
            <w:vAlign w:val="center"/>
          </w:tcPr>
          <w:p>
            <w:pPr>
              <w:spacing w:line="400" w:lineRule="exact"/>
              <w:jc w:val="center"/>
              <w:rPr>
                <w:rFonts w:ascii="宋体" w:hAnsi="宋体" w:cs="宋体"/>
              </w:rPr>
            </w:pPr>
          </w:p>
        </w:tc>
        <w:tc>
          <w:tcPr>
            <w:tcW w:w="1753" w:type="dxa"/>
            <w:gridSpan w:val="2"/>
            <w:vAlign w:val="center"/>
          </w:tcPr>
          <w:p>
            <w:pPr>
              <w:spacing w:line="360" w:lineRule="auto"/>
              <w:jc w:val="center"/>
              <w:rPr>
                <w:rFonts w:ascii="宋体" w:hAnsi="宋体" w:cs="宋体"/>
                <w:kern w:val="0"/>
              </w:rPr>
            </w:pPr>
            <w:r>
              <w:rPr>
                <w:rFonts w:hint="eastAsia" w:ascii="宋体" w:hAnsi="宋体" w:cs="宋体"/>
                <w:kern w:val="0"/>
              </w:rPr>
              <w:t>比选申请文件的组成</w:t>
            </w:r>
          </w:p>
        </w:tc>
        <w:tc>
          <w:tcPr>
            <w:tcW w:w="5476" w:type="dxa"/>
            <w:vAlign w:val="center"/>
          </w:tcPr>
          <w:p>
            <w:pPr>
              <w:spacing w:line="360" w:lineRule="auto"/>
              <w:ind w:firstLine="420" w:firstLineChars="200"/>
              <w:rPr>
                <w:rFonts w:ascii="宋体" w:hAnsi="宋体" w:cs="宋体"/>
                <w:kern w:val="0"/>
              </w:rPr>
            </w:pPr>
            <w:r>
              <w:rPr>
                <w:rFonts w:hint="eastAsia" w:ascii="宋体" w:hAnsi="宋体" w:cs="宋体"/>
                <w:kern w:val="0"/>
              </w:rPr>
              <w:t>符合比选文件规定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820" w:type="dxa"/>
            <w:vMerge w:val="restart"/>
            <w:vAlign w:val="center"/>
          </w:tcPr>
          <w:p>
            <w:pPr>
              <w:spacing w:line="400" w:lineRule="exact"/>
              <w:jc w:val="center"/>
              <w:rPr>
                <w:rFonts w:ascii="宋体" w:hAnsi="宋体" w:cs="宋体"/>
                <w:kern w:val="0"/>
              </w:rPr>
            </w:pPr>
            <w:r>
              <w:rPr>
                <w:rFonts w:hint="eastAsia" w:ascii="宋体" w:hAnsi="宋体" w:cs="宋体"/>
                <w:kern w:val="0"/>
              </w:rPr>
              <w:t>2.1.2</w:t>
            </w:r>
          </w:p>
        </w:tc>
        <w:tc>
          <w:tcPr>
            <w:tcW w:w="1415" w:type="dxa"/>
            <w:vMerge w:val="restart"/>
            <w:textDirection w:val="tbRlV"/>
            <w:vAlign w:val="center"/>
          </w:tcPr>
          <w:p>
            <w:pPr>
              <w:spacing w:line="400" w:lineRule="exact"/>
              <w:ind w:left="113" w:right="113"/>
              <w:jc w:val="center"/>
              <w:rPr>
                <w:rFonts w:ascii="宋体" w:hAnsi="宋体" w:cs="宋体"/>
                <w:kern w:val="0"/>
              </w:rPr>
            </w:pPr>
            <w:r>
              <w:rPr>
                <w:rFonts w:hint="eastAsia" w:ascii="宋体" w:hAnsi="宋体" w:cs="宋体"/>
                <w:kern w:val="0"/>
              </w:rPr>
              <w:t>资格评审标准</w:t>
            </w:r>
          </w:p>
        </w:tc>
        <w:tc>
          <w:tcPr>
            <w:tcW w:w="1753" w:type="dxa"/>
            <w:gridSpan w:val="2"/>
            <w:vAlign w:val="center"/>
          </w:tcPr>
          <w:p>
            <w:pPr>
              <w:spacing w:line="360" w:lineRule="auto"/>
              <w:jc w:val="center"/>
              <w:rPr>
                <w:rFonts w:ascii="宋体" w:hAnsi="宋体" w:cs="宋体"/>
                <w:kern w:val="0"/>
              </w:rPr>
            </w:pPr>
            <w:r>
              <w:rPr>
                <w:rFonts w:hint="eastAsia" w:ascii="宋体" w:hAnsi="宋体" w:cs="宋体"/>
              </w:rPr>
              <w:t>营业执照</w:t>
            </w:r>
          </w:p>
        </w:tc>
        <w:tc>
          <w:tcPr>
            <w:tcW w:w="5476" w:type="dxa"/>
            <w:vAlign w:val="center"/>
          </w:tcPr>
          <w:p>
            <w:pPr>
              <w:spacing w:line="360" w:lineRule="auto"/>
              <w:ind w:firstLine="420" w:firstLineChars="200"/>
              <w:rPr>
                <w:rFonts w:ascii="宋体" w:hAnsi="宋体" w:cs="宋体"/>
                <w:kern w:val="0"/>
              </w:rPr>
            </w:pPr>
            <w:r>
              <w:rPr>
                <w:rFonts w:hint="eastAsia" w:ascii="宋体" w:hAnsi="宋体" w:cs="宋体"/>
                <w:kern w:val="0"/>
              </w:rPr>
              <w:t>符合比选文件第二部分比选须知“比选申请人资格要求”规定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820" w:type="dxa"/>
            <w:vMerge w:val="continue"/>
            <w:vAlign w:val="center"/>
          </w:tcPr>
          <w:p>
            <w:pPr>
              <w:spacing w:line="400" w:lineRule="exact"/>
              <w:jc w:val="center"/>
              <w:rPr>
                <w:rFonts w:ascii="宋体" w:hAnsi="宋体" w:cs="宋体"/>
                <w:kern w:val="0"/>
              </w:rPr>
            </w:pPr>
          </w:p>
        </w:tc>
        <w:tc>
          <w:tcPr>
            <w:tcW w:w="1415" w:type="dxa"/>
            <w:vMerge w:val="continue"/>
            <w:textDirection w:val="tbRlV"/>
            <w:vAlign w:val="center"/>
          </w:tcPr>
          <w:p>
            <w:pPr>
              <w:spacing w:line="400" w:lineRule="exact"/>
              <w:ind w:left="113" w:right="113"/>
              <w:jc w:val="center"/>
              <w:rPr>
                <w:rFonts w:ascii="宋体" w:hAnsi="宋体" w:cs="宋体"/>
                <w:kern w:val="0"/>
              </w:rPr>
            </w:pPr>
          </w:p>
        </w:tc>
        <w:tc>
          <w:tcPr>
            <w:tcW w:w="1753" w:type="dxa"/>
            <w:gridSpan w:val="2"/>
            <w:vAlign w:val="center"/>
          </w:tcPr>
          <w:p>
            <w:pPr>
              <w:spacing w:line="360" w:lineRule="auto"/>
              <w:jc w:val="center"/>
              <w:rPr>
                <w:rFonts w:ascii="宋体" w:hAnsi="宋体" w:cs="宋体"/>
                <w:kern w:val="0"/>
              </w:rPr>
            </w:pPr>
            <w:r>
              <w:rPr>
                <w:rFonts w:hint="eastAsia" w:ascii="宋体" w:hAnsi="宋体" w:cs="宋体"/>
              </w:rPr>
              <w:t>承诺</w:t>
            </w:r>
          </w:p>
        </w:tc>
        <w:tc>
          <w:tcPr>
            <w:tcW w:w="5476" w:type="dxa"/>
            <w:vAlign w:val="center"/>
          </w:tcPr>
          <w:p>
            <w:pPr>
              <w:spacing w:line="360" w:lineRule="auto"/>
              <w:ind w:firstLine="420" w:firstLineChars="200"/>
              <w:jc w:val="left"/>
              <w:rPr>
                <w:rFonts w:ascii="宋体" w:hAnsi="宋体" w:cs="宋体"/>
                <w:kern w:val="0"/>
              </w:rPr>
            </w:pPr>
            <w:r>
              <w:rPr>
                <w:rFonts w:hint="eastAsia" w:ascii="宋体" w:hAnsi="宋体" w:cs="宋体"/>
                <w:kern w:val="0"/>
              </w:rPr>
              <w:t>符合比选文件第二部分比选须知“比选申请人资格要求”规定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820" w:type="dxa"/>
            <w:vMerge w:val="continue"/>
            <w:vAlign w:val="center"/>
          </w:tcPr>
          <w:p>
            <w:pPr>
              <w:spacing w:line="400" w:lineRule="exact"/>
              <w:jc w:val="center"/>
              <w:rPr>
                <w:rFonts w:ascii="宋体" w:hAnsi="宋体" w:cs="宋体"/>
                <w:kern w:val="0"/>
              </w:rPr>
            </w:pPr>
          </w:p>
        </w:tc>
        <w:tc>
          <w:tcPr>
            <w:tcW w:w="1415" w:type="dxa"/>
            <w:vMerge w:val="continue"/>
            <w:textDirection w:val="tbRlV"/>
            <w:vAlign w:val="center"/>
          </w:tcPr>
          <w:p>
            <w:pPr>
              <w:spacing w:line="400" w:lineRule="exact"/>
              <w:ind w:left="113" w:right="113"/>
              <w:jc w:val="center"/>
              <w:rPr>
                <w:rFonts w:ascii="宋体" w:hAnsi="宋体" w:cs="宋体"/>
                <w:kern w:val="0"/>
              </w:rPr>
            </w:pPr>
          </w:p>
        </w:tc>
        <w:tc>
          <w:tcPr>
            <w:tcW w:w="1753" w:type="dxa"/>
            <w:gridSpan w:val="2"/>
            <w:vAlign w:val="center"/>
          </w:tcPr>
          <w:p>
            <w:pPr>
              <w:spacing w:line="360" w:lineRule="auto"/>
              <w:jc w:val="center"/>
              <w:rPr>
                <w:rFonts w:ascii="宋体" w:hAnsi="宋体" w:cs="宋体"/>
              </w:rPr>
            </w:pPr>
            <w:r>
              <w:rPr>
                <w:rFonts w:hint="eastAsia" w:ascii="宋体" w:hAnsi="宋体" w:cs="宋体"/>
              </w:rPr>
              <w:t>资质要求</w:t>
            </w:r>
          </w:p>
        </w:tc>
        <w:tc>
          <w:tcPr>
            <w:tcW w:w="5476" w:type="dxa"/>
            <w:vAlign w:val="center"/>
          </w:tcPr>
          <w:p>
            <w:pPr>
              <w:spacing w:line="360" w:lineRule="auto"/>
              <w:ind w:firstLine="420" w:firstLineChars="200"/>
              <w:jc w:val="left"/>
              <w:rPr>
                <w:rFonts w:ascii="宋体" w:hAnsi="宋体" w:cs="宋体"/>
                <w:kern w:val="0"/>
              </w:rPr>
            </w:pPr>
            <w:r>
              <w:rPr>
                <w:rFonts w:hint="eastAsia" w:ascii="宋体" w:hAnsi="宋体" w:cs="宋体"/>
                <w:kern w:val="0"/>
              </w:rPr>
              <w:t>符合比选文件第二部分比选须知“比选申请人资格要求”规定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0" w:type="dxa"/>
            <w:vMerge w:val="restart"/>
            <w:vAlign w:val="center"/>
          </w:tcPr>
          <w:p>
            <w:pPr>
              <w:spacing w:line="400" w:lineRule="exact"/>
              <w:jc w:val="center"/>
              <w:rPr>
                <w:rFonts w:ascii="宋体" w:hAnsi="宋体" w:cs="宋体"/>
              </w:rPr>
            </w:pPr>
            <w:r>
              <w:rPr>
                <w:rFonts w:hint="eastAsia" w:ascii="宋体" w:hAnsi="宋体" w:cs="宋体"/>
                <w:kern w:val="0"/>
              </w:rPr>
              <w:t>2.1.3</w:t>
            </w:r>
          </w:p>
        </w:tc>
        <w:tc>
          <w:tcPr>
            <w:tcW w:w="1415" w:type="dxa"/>
            <w:vMerge w:val="restart"/>
            <w:textDirection w:val="tbRlV"/>
            <w:vAlign w:val="center"/>
          </w:tcPr>
          <w:p>
            <w:pPr>
              <w:spacing w:line="400" w:lineRule="exact"/>
              <w:ind w:left="113" w:right="113"/>
              <w:jc w:val="center"/>
              <w:rPr>
                <w:rFonts w:ascii="宋体" w:hAnsi="宋体" w:cs="宋体"/>
              </w:rPr>
            </w:pPr>
            <w:r>
              <w:rPr>
                <w:rFonts w:hint="eastAsia" w:ascii="宋体" w:hAnsi="宋体" w:cs="宋体"/>
                <w:kern w:val="0"/>
              </w:rPr>
              <w:t>响应性评审标准</w:t>
            </w:r>
          </w:p>
        </w:tc>
        <w:tc>
          <w:tcPr>
            <w:tcW w:w="1753" w:type="dxa"/>
            <w:gridSpan w:val="2"/>
            <w:vAlign w:val="center"/>
          </w:tcPr>
          <w:p>
            <w:pPr>
              <w:spacing w:line="360" w:lineRule="auto"/>
              <w:jc w:val="center"/>
              <w:rPr>
                <w:rFonts w:ascii="宋体" w:hAnsi="宋体" w:cs="宋体"/>
                <w:kern w:val="0"/>
              </w:rPr>
            </w:pPr>
            <w:r>
              <w:rPr>
                <w:rFonts w:hint="eastAsia" w:ascii="宋体" w:hAnsi="宋体" w:cs="宋体"/>
                <w:kern w:val="0"/>
              </w:rPr>
              <w:t>比选范围</w:t>
            </w:r>
          </w:p>
        </w:tc>
        <w:tc>
          <w:tcPr>
            <w:tcW w:w="5476" w:type="dxa"/>
            <w:vAlign w:val="center"/>
          </w:tcPr>
          <w:p>
            <w:pPr>
              <w:spacing w:after="62" w:afterLines="20" w:line="360" w:lineRule="auto"/>
              <w:ind w:firstLine="420" w:firstLineChars="200"/>
              <w:rPr>
                <w:rFonts w:ascii="宋体" w:hAnsi="宋体" w:cs="宋体"/>
                <w:kern w:val="0"/>
              </w:rPr>
            </w:pPr>
            <w:r>
              <w:rPr>
                <w:rFonts w:hint="eastAsia" w:ascii="宋体" w:hAnsi="宋体" w:cs="宋体"/>
                <w:kern w:val="0"/>
              </w:rPr>
              <w:t>符合比选文件第一部分比选公告第3.1项规定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0" w:type="dxa"/>
            <w:vMerge w:val="continue"/>
            <w:vAlign w:val="center"/>
          </w:tcPr>
          <w:p>
            <w:pPr>
              <w:spacing w:line="400" w:lineRule="exact"/>
              <w:jc w:val="center"/>
              <w:rPr>
                <w:rFonts w:ascii="宋体" w:hAnsi="宋体" w:cs="宋体"/>
                <w:kern w:val="0"/>
              </w:rPr>
            </w:pPr>
          </w:p>
        </w:tc>
        <w:tc>
          <w:tcPr>
            <w:tcW w:w="1415" w:type="dxa"/>
            <w:vMerge w:val="continue"/>
            <w:textDirection w:val="tbRlV"/>
            <w:vAlign w:val="center"/>
          </w:tcPr>
          <w:p>
            <w:pPr>
              <w:spacing w:line="400" w:lineRule="exact"/>
              <w:ind w:left="113" w:right="113"/>
              <w:jc w:val="center"/>
              <w:rPr>
                <w:rFonts w:ascii="宋体" w:hAnsi="宋体" w:cs="宋体"/>
                <w:kern w:val="0"/>
              </w:rPr>
            </w:pPr>
          </w:p>
        </w:tc>
        <w:tc>
          <w:tcPr>
            <w:tcW w:w="1753" w:type="dxa"/>
            <w:gridSpan w:val="2"/>
            <w:vAlign w:val="center"/>
          </w:tcPr>
          <w:p>
            <w:pPr>
              <w:spacing w:line="360" w:lineRule="auto"/>
              <w:jc w:val="center"/>
              <w:rPr>
                <w:rFonts w:ascii="宋体" w:hAnsi="宋体" w:cs="宋体"/>
                <w:kern w:val="0"/>
              </w:rPr>
            </w:pPr>
            <w:r>
              <w:rPr>
                <w:rFonts w:hint="eastAsia" w:ascii="宋体" w:hAnsi="宋体" w:cs="宋体"/>
                <w:kern w:val="0"/>
              </w:rPr>
              <w:t>服务期</w:t>
            </w:r>
          </w:p>
        </w:tc>
        <w:tc>
          <w:tcPr>
            <w:tcW w:w="5476" w:type="dxa"/>
            <w:vAlign w:val="center"/>
          </w:tcPr>
          <w:p>
            <w:pPr>
              <w:spacing w:after="62" w:afterLines="20" w:line="360" w:lineRule="auto"/>
              <w:ind w:firstLine="420" w:firstLineChars="200"/>
              <w:rPr>
                <w:rFonts w:ascii="宋体" w:hAnsi="宋体" w:cs="宋体"/>
                <w:kern w:val="0"/>
              </w:rPr>
            </w:pPr>
            <w:r>
              <w:rPr>
                <w:rFonts w:hint="eastAsia" w:ascii="宋体" w:hAnsi="宋体" w:cs="宋体"/>
                <w:kern w:val="0"/>
              </w:rPr>
              <w:t>符合比选文件第一部分比选公告第4项规定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0" w:type="dxa"/>
            <w:vMerge w:val="continue"/>
            <w:vAlign w:val="center"/>
          </w:tcPr>
          <w:p>
            <w:pPr>
              <w:spacing w:line="400" w:lineRule="exact"/>
              <w:jc w:val="center"/>
              <w:rPr>
                <w:rFonts w:ascii="宋体" w:hAnsi="宋体" w:cs="宋体"/>
                <w:kern w:val="0"/>
              </w:rPr>
            </w:pPr>
          </w:p>
        </w:tc>
        <w:tc>
          <w:tcPr>
            <w:tcW w:w="1415" w:type="dxa"/>
            <w:vMerge w:val="continue"/>
            <w:textDirection w:val="tbRlV"/>
            <w:vAlign w:val="center"/>
          </w:tcPr>
          <w:p>
            <w:pPr>
              <w:spacing w:line="400" w:lineRule="exact"/>
              <w:ind w:left="113" w:right="113"/>
              <w:jc w:val="center"/>
              <w:rPr>
                <w:rFonts w:ascii="宋体" w:hAnsi="宋体" w:cs="宋体"/>
                <w:kern w:val="0"/>
              </w:rPr>
            </w:pPr>
          </w:p>
        </w:tc>
        <w:tc>
          <w:tcPr>
            <w:tcW w:w="1753" w:type="dxa"/>
            <w:gridSpan w:val="2"/>
            <w:vAlign w:val="center"/>
          </w:tcPr>
          <w:p>
            <w:pPr>
              <w:spacing w:line="360" w:lineRule="auto"/>
              <w:jc w:val="center"/>
              <w:rPr>
                <w:rFonts w:ascii="宋体" w:hAnsi="宋体" w:cs="宋体"/>
                <w:kern w:val="0"/>
              </w:rPr>
            </w:pPr>
            <w:r>
              <w:rPr>
                <w:rFonts w:hint="eastAsia" w:ascii="宋体" w:hAnsi="宋体" w:cs="宋体"/>
                <w:kern w:val="0"/>
              </w:rPr>
              <w:t>权利义务</w:t>
            </w:r>
          </w:p>
        </w:tc>
        <w:tc>
          <w:tcPr>
            <w:tcW w:w="5476" w:type="dxa"/>
            <w:vAlign w:val="center"/>
          </w:tcPr>
          <w:p>
            <w:pPr>
              <w:spacing w:after="62" w:afterLines="20" w:line="360" w:lineRule="auto"/>
              <w:ind w:firstLine="420" w:firstLineChars="200"/>
              <w:rPr>
                <w:rFonts w:ascii="宋体" w:hAnsi="宋体" w:cs="宋体"/>
                <w:kern w:val="0"/>
              </w:rPr>
            </w:pPr>
            <w:r>
              <w:rPr>
                <w:rFonts w:hint="eastAsia" w:ascii="宋体" w:hAnsi="宋体" w:cs="宋体"/>
                <w:kern w:val="0"/>
              </w:rPr>
              <w:t>符合</w:t>
            </w:r>
            <w:r>
              <w:rPr>
                <w:rFonts w:hint="eastAsia" w:ascii="宋体" w:cs="宋体"/>
                <w:kern w:val="0"/>
              </w:rPr>
              <w:t>“</w:t>
            </w:r>
            <w:r>
              <w:rPr>
                <w:rFonts w:hint="eastAsia" w:ascii="宋体" w:hAnsi="宋体" w:cs="宋体"/>
                <w:kern w:val="0"/>
              </w:rPr>
              <w:t>合同条款</w:t>
            </w:r>
            <w:r>
              <w:rPr>
                <w:rFonts w:hint="eastAsia" w:ascii="宋体" w:cs="宋体"/>
                <w:kern w:val="0"/>
              </w:rPr>
              <w:t>”</w:t>
            </w:r>
            <w:r>
              <w:rPr>
                <w:rFonts w:hint="eastAsia" w:ascii="宋体" w:hAnsi="宋体" w:cs="宋体"/>
                <w:kern w:val="0"/>
              </w:rPr>
              <w:t>规定，比选申请文件不应附有比选人不能接受的条件。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0" w:type="dxa"/>
            <w:vMerge w:val="continue"/>
            <w:vAlign w:val="center"/>
          </w:tcPr>
          <w:p>
            <w:pPr>
              <w:spacing w:line="400" w:lineRule="exact"/>
              <w:jc w:val="center"/>
              <w:rPr>
                <w:rFonts w:ascii="宋体" w:hAnsi="宋体" w:cs="宋体"/>
              </w:rPr>
            </w:pPr>
          </w:p>
        </w:tc>
        <w:tc>
          <w:tcPr>
            <w:tcW w:w="1415" w:type="dxa"/>
            <w:vMerge w:val="continue"/>
            <w:textDirection w:val="tbRlV"/>
            <w:vAlign w:val="center"/>
          </w:tcPr>
          <w:p>
            <w:pPr>
              <w:spacing w:line="400" w:lineRule="exact"/>
              <w:ind w:left="113" w:right="113"/>
              <w:jc w:val="center"/>
              <w:rPr>
                <w:rFonts w:ascii="宋体" w:hAnsi="宋体" w:cs="宋体"/>
              </w:rPr>
            </w:pPr>
          </w:p>
        </w:tc>
        <w:tc>
          <w:tcPr>
            <w:tcW w:w="1753" w:type="dxa"/>
            <w:gridSpan w:val="2"/>
            <w:vAlign w:val="center"/>
          </w:tcPr>
          <w:p>
            <w:pPr>
              <w:spacing w:line="360" w:lineRule="auto"/>
              <w:jc w:val="center"/>
              <w:rPr>
                <w:rFonts w:ascii="宋体" w:hAnsi="宋体" w:cs="宋体"/>
                <w:kern w:val="0"/>
              </w:rPr>
            </w:pPr>
            <w:r>
              <w:rPr>
                <w:rFonts w:hint="eastAsia" w:ascii="宋体" w:hAnsi="宋体" w:cs="宋体"/>
                <w:kern w:val="0"/>
              </w:rPr>
              <w:t>实质性要求</w:t>
            </w:r>
          </w:p>
        </w:tc>
        <w:tc>
          <w:tcPr>
            <w:tcW w:w="5476" w:type="dxa"/>
            <w:vAlign w:val="center"/>
          </w:tcPr>
          <w:p>
            <w:pPr>
              <w:spacing w:after="62" w:afterLines="20" w:line="360" w:lineRule="auto"/>
              <w:ind w:firstLine="420" w:firstLineChars="200"/>
              <w:rPr>
                <w:rFonts w:ascii="宋体"/>
                <w:kern w:val="0"/>
              </w:rPr>
            </w:pPr>
            <w:r>
              <w:rPr>
                <w:rFonts w:hint="eastAsia" w:ascii="宋体" w:hAnsi="宋体" w:cs="宋体"/>
                <w:kern w:val="0"/>
              </w:rPr>
              <w:t>符合比选文件规定。</w:t>
            </w:r>
          </w:p>
          <w:p>
            <w:pPr>
              <w:spacing w:after="62" w:afterLines="20" w:line="360" w:lineRule="auto"/>
              <w:ind w:firstLine="420" w:firstLineChars="200"/>
              <w:rPr>
                <w:rFonts w:ascii="宋体"/>
                <w:kern w:val="0"/>
              </w:rPr>
            </w:pPr>
            <w:r>
              <w:rPr>
                <w:rFonts w:hint="eastAsia" w:ascii="宋体" w:hAnsi="宋体" w:cs="宋体"/>
                <w:kern w:val="0"/>
              </w:rPr>
              <w:t>本次参选不得有串通竞选、弄虚作假等其他违反招竞选相关法律、法规行为。</w:t>
            </w:r>
          </w:p>
          <w:p>
            <w:pPr>
              <w:spacing w:after="62" w:afterLines="20" w:line="360" w:lineRule="auto"/>
              <w:ind w:firstLine="420" w:firstLineChars="200"/>
              <w:rPr>
                <w:rFonts w:ascii="宋体" w:hAnsi="宋体" w:cs="宋体"/>
                <w:kern w:val="0"/>
              </w:rPr>
            </w:pPr>
            <w:r>
              <w:rPr>
                <w:rFonts w:hint="eastAsia" w:ascii="宋体" w:hAnsi="宋体" w:cs="宋体"/>
                <w:kern w:val="0"/>
              </w:rPr>
              <w:t>按评标委员会要求澄清、说明或补正。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0" w:type="dxa"/>
            <w:vMerge w:val="continue"/>
            <w:vAlign w:val="center"/>
          </w:tcPr>
          <w:p>
            <w:pPr>
              <w:spacing w:line="400" w:lineRule="exact"/>
              <w:jc w:val="center"/>
              <w:rPr>
                <w:rFonts w:ascii="宋体" w:hAnsi="宋体" w:cs="宋体"/>
                <w:kern w:val="0"/>
              </w:rPr>
            </w:pPr>
          </w:p>
        </w:tc>
        <w:tc>
          <w:tcPr>
            <w:tcW w:w="1415" w:type="dxa"/>
            <w:vMerge w:val="continue"/>
            <w:textDirection w:val="tbRlV"/>
            <w:vAlign w:val="center"/>
          </w:tcPr>
          <w:p>
            <w:pPr>
              <w:spacing w:line="400" w:lineRule="exact"/>
              <w:ind w:left="113" w:right="113"/>
              <w:jc w:val="center"/>
              <w:rPr>
                <w:rFonts w:ascii="宋体" w:hAnsi="宋体" w:cs="宋体"/>
                <w:kern w:val="0"/>
              </w:rPr>
            </w:pPr>
          </w:p>
        </w:tc>
        <w:tc>
          <w:tcPr>
            <w:tcW w:w="1753" w:type="dxa"/>
            <w:gridSpan w:val="2"/>
            <w:vAlign w:val="center"/>
          </w:tcPr>
          <w:p>
            <w:pPr>
              <w:spacing w:line="360" w:lineRule="auto"/>
              <w:jc w:val="center"/>
              <w:rPr>
                <w:rFonts w:ascii="宋体" w:hAnsi="宋体" w:cs="宋体"/>
                <w:kern w:val="0"/>
              </w:rPr>
            </w:pPr>
            <w:r>
              <w:rPr>
                <w:rFonts w:hint="eastAsia" w:ascii="宋体" w:hAnsi="宋体" w:cs="宋体"/>
                <w:kern w:val="0"/>
              </w:rPr>
              <w:t>比选申请报价</w:t>
            </w:r>
          </w:p>
        </w:tc>
        <w:tc>
          <w:tcPr>
            <w:tcW w:w="5476" w:type="dxa"/>
            <w:vAlign w:val="center"/>
          </w:tcPr>
          <w:p>
            <w:pPr>
              <w:spacing w:after="62" w:afterLines="20" w:line="360" w:lineRule="auto"/>
              <w:ind w:firstLine="420" w:firstLineChars="200"/>
              <w:rPr>
                <w:rFonts w:ascii="宋体" w:hAnsi="宋体" w:cs="宋体"/>
                <w:kern w:val="0"/>
              </w:rPr>
            </w:pPr>
            <w:r>
              <w:rPr>
                <w:rFonts w:hint="eastAsia" w:ascii="宋体" w:hAnsi="宋体" w:cs="宋体"/>
                <w:kern w:val="0"/>
              </w:rPr>
              <w:t>比选申请人的比选申请报价不得超过最高限价。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35" w:type="dxa"/>
            <w:gridSpan w:val="2"/>
            <w:vAlign w:val="center"/>
          </w:tcPr>
          <w:p>
            <w:pPr>
              <w:spacing w:line="400" w:lineRule="exact"/>
              <w:ind w:firstLine="525" w:firstLineChars="250"/>
              <w:rPr>
                <w:rFonts w:ascii="宋体" w:hAnsi="宋体" w:cs="宋体"/>
                <w:kern w:val="0"/>
              </w:rPr>
            </w:pPr>
            <w:r>
              <w:rPr>
                <w:rFonts w:hint="eastAsia" w:ascii="宋体" w:hAnsi="宋体" w:cs="宋体"/>
                <w:kern w:val="0"/>
              </w:rPr>
              <w:t>2.2.1</w:t>
            </w:r>
          </w:p>
        </w:tc>
        <w:tc>
          <w:tcPr>
            <w:tcW w:w="1753" w:type="dxa"/>
            <w:gridSpan w:val="2"/>
            <w:vAlign w:val="center"/>
          </w:tcPr>
          <w:p>
            <w:pPr>
              <w:tabs>
                <w:tab w:val="left" w:pos="1875"/>
              </w:tabs>
              <w:spacing w:line="400" w:lineRule="exact"/>
              <w:jc w:val="center"/>
              <w:rPr>
                <w:rFonts w:ascii="宋体" w:hAnsi="宋体" w:cs="宋体"/>
                <w:kern w:val="0"/>
              </w:rPr>
            </w:pPr>
            <w:r>
              <w:rPr>
                <w:rFonts w:hint="eastAsia" w:ascii="宋体" w:hAnsi="宋体" w:cs="宋体"/>
                <w:kern w:val="0"/>
              </w:rPr>
              <w:t>分值构成</w:t>
            </w:r>
          </w:p>
          <w:p>
            <w:pPr>
              <w:tabs>
                <w:tab w:val="left" w:pos="1875"/>
              </w:tabs>
              <w:spacing w:line="400" w:lineRule="exact"/>
              <w:jc w:val="center"/>
              <w:rPr>
                <w:rFonts w:ascii="宋体" w:hAnsi="宋体" w:cs="宋体"/>
                <w:kern w:val="0"/>
              </w:rPr>
            </w:pPr>
            <w:r>
              <w:rPr>
                <w:rFonts w:hint="eastAsia" w:ascii="宋体" w:hAnsi="宋体" w:cs="宋体"/>
                <w:kern w:val="0"/>
              </w:rPr>
              <w:t>(总分1OO分)</w:t>
            </w:r>
          </w:p>
        </w:tc>
        <w:tc>
          <w:tcPr>
            <w:tcW w:w="5476" w:type="dxa"/>
            <w:vAlign w:val="center"/>
          </w:tcPr>
          <w:p>
            <w:pPr>
              <w:snapToGrid w:val="0"/>
              <w:spacing w:line="400" w:lineRule="exact"/>
              <w:ind w:firstLine="315" w:firstLineChars="150"/>
              <w:rPr>
                <w:rFonts w:ascii="宋体" w:hAnsi="宋体" w:cs="宋体"/>
              </w:rPr>
            </w:pPr>
            <w:r>
              <w:rPr>
                <w:rFonts w:hint="eastAsia" w:ascii="宋体" w:hAnsi="宋体" w:cs="宋体"/>
              </w:rPr>
              <w:t>（1）比选申请报价：</w:t>
            </w:r>
            <w:r>
              <w:rPr>
                <w:rFonts w:hint="eastAsia" w:ascii="宋体" w:hAnsi="宋体" w:cs="宋体"/>
                <w:u w:val="single"/>
              </w:rPr>
              <w:t xml:space="preserve"> </w:t>
            </w:r>
            <w:r>
              <w:rPr>
                <w:rFonts w:ascii="宋体" w:hAnsi="宋体" w:cs="宋体"/>
                <w:u w:val="single"/>
              </w:rPr>
              <w:t>40</w:t>
            </w:r>
            <w:r>
              <w:rPr>
                <w:rFonts w:hint="eastAsia" w:ascii="宋体" w:hAnsi="宋体" w:cs="宋体"/>
                <w:u w:val="single"/>
              </w:rPr>
              <w:t xml:space="preserve"> </w:t>
            </w:r>
            <w:r>
              <w:rPr>
                <w:rFonts w:hint="eastAsia" w:ascii="宋体" w:hAnsi="宋体" w:cs="宋体"/>
              </w:rPr>
              <w:t>分；</w:t>
            </w:r>
          </w:p>
          <w:p>
            <w:pPr>
              <w:snapToGrid w:val="0"/>
              <w:spacing w:line="400" w:lineRule="exact"/>
              <w:ind w:firstLine="315" w:firstLineChars="150"/>
              <w:rPr>
                <w:rFonts w:ascii="宋体" w:hAnsi="宋体" w:cs="宋体"/>
              </w:rPr>
            </w:pPr>
            <w:r>
              <w:rPr>
                <w:rFonts w:hint="eastAsia" w:ascii="宋体" w:hAnsi="宋体" w:cs="宋体"/>
              </w:rPr>
              <w:t>（2）商务部分：</w:t>
            </w:r>
            <w:r>
              <w:rPr>
                <w:rFonts w:hint="eastAsia" w:ascii="宋体" w:hAnsi="宋体" w:cs="宋体"/>
                <w:u w:val="single"/>
              </w:rPr>
              <w:t xml:space="preserve"> </w:t>
            </w:r>
            <w:r>
              <w:rPr>
                <w:rFonts w:ascii="宋体" w:hAnsi="宋体" w:cs="宋体"/>
                <w:u w:val="single"/>
              </w:rPr>
              <w:t>20</w:t>
            </w:r>
            <w:r>
              <w:rPr>
                <w:rFonts w:hint="eastAsia" w:ascii="宋体" w:hAnsi="宋体" w:cs="宋体"/>
                <w:u w:val="single"/>
              </w:rPr>
              <w:t xml:space="preserve"> </w:t>
            </w:r>
            <w:r>
              <w:rPr>
                <w:rFonts w:hint="eastAsia" w:ascii="宋体" w:hAnsi="宋体" w:cs="宋体"/>
              </w:rPr>
              <w:t>分；</w:t>
            </w:r>
          </w:p>
          <w:p>
            <w:pPr>
              <w:snapToGrid w:val="0"/>
              <w:spacing w:line="400" w:lineRule="exact"/>
              <w:ind w:firstLine="315" w:firstLineChars="150"/>
              <w:rPr>
                <w:rFonts w:ascii="宋体" w:hAnsi="宋体" w:cs="宋体"/>
              </w:rPr>
            </w:pPr>
            <w:r>
              <w:rPr>
                <w:rFonts w:hint="eastAsia" w:ascii="宋体" w:hAnsi="宋体" w:cs="宋体"/>
              </w:rPr>
              <w:t>（3）技术部分：</w:t>
            </w:r>
            <w:r>
              <w:rPr>
                <w:rFonts w:hint="eastAsia" w:ascii="宋体" w:hAnsi="宋体" w:cs="宋体"/>
                <w:u w:val="single"/>
              </w:rPr>
              <w:t xml:space="preserve"> </w:t>
            </w:r>
            <w:r>
              <w:rPr>
                <w:rFonts w:ascii="宋体" w:hAnsi="宋体" w:cs="宋体"/>
                <w:u w:val="single"/>
              </w:rPr>
              <w:t>40</w:t>
            </w:r>
            <w:r>
              <w:rPr>
                <w:rFonts w:hint="eastAsia" w:ascii="宋体" w:hAnsi="宋体" w:cs="宋体"/>
                <w:u w:val="single"/>
              </w:rPr>
              <w:t xml:space="preserve"> </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vAlign w:val="center"/>
          </w:tcPr>
          <w:p>
            <w:pPr>
              <w:snapToGrid w:val="0"/>
              <w:spacing w:line="400" w:lineRule="exact"/>
              <w:ind w:left="105" w:hanging="105" w:hangingChars="50"/>
              <w:jc w:val="center"/>
              <w:rPr>
                <w:rFonts w:ascii="宋体" w:hAnsi="宋体" w:cs="宋体"/>
                <w:kern w:val="0"/>
              </w:rPr>
            </w:pPr>
            <w:r>
              <w:rPr>
                <w:rFonts w:hint="eastAsia" w:ascii="宋体" w:hAnsi="宋体" w:cs="宋体"/>
                <w:kern w:val="0"/>
              </w:rPr>
              <w:t>2.2.4</w:t>
            </w:r>
          </w:p>
          <w:p>
            <w:pPr>
              <w:spacing w:line="400" w:lineRule="exact"/>
              <w:jc w:val="center"/>
              <w:rPr>
                <w:rFonts w:ascii="宋体" w:hAnsi="宋体" w:cs="宋体"/>
                <w:kern w:val="0"/>
              </w:rPr>
            </w:pPr>
            <w:r>
              <w:rPr>
                <w:rFonts w:hint="eastAsia" w:ascii="宋体" w:hAnsi="宋体" w:cs="宋体"/>
                <w:kern w:val="0"/>
              </w:rPr>
              <w:t>（1）</w:t>
            </w:r>
          </w:p>
        </w:tc>
        <w:tc>
          <w:tcPr>
            <w:tcW w:w="1415" w:type="dxa"/>
            <w:vAlign w:val="center"/>
          </w:tcPr>
          <w:p>
            <w:pPr>
              <w:spacing w:line="400" w:lineRule="exact"/>
              <w:jc w:val="center"/>
              <w:rPr>
                <w:rFonts w:ascii="宋体" w:hAnsi="宋体" w:cs="宋体"/>
                <w:kern w:val="0"/>
              </w:rPr>
            </w:pPr>
            <w:r>
              <w:rPr>
                <w:rFonts w:hint="eastAsia" w:ascii="宋体" w:hAnsi="宋体" w:cs="宋体"/>
                <w:kern w:val="0"/>
              </w:rPr>
              <w:t>比选申请报价</w:t>
            </w:r>
          </w:p>
          <w:p>
            <w:pPr>
              <w:spacing w:line="400" w:lineRule="exact"/>
              <w:jc w:val="center"/>
              <w:rPr>
                <w:rFonts w:ascii="宋体" w:hAnsi="宋体" w:cs="宋体"/>
                <w:kern w:val="0"/>
              </w:rPr>
            </w:pPr>
            <w:r>
              <w:rPr>
                <w:rFonts w:hint="eastAsia" w:ascii="宋体" w:hAnsi="宋体" w:cs="宋体"/>
                <w:kern w:val="0"/>
              </w:rPr>
              <w:t>评分标准   （</w:t>
            </w:r>
            <w:r>
              <w:rPr>
                <w:rFonts w:ascii="宋体" w:hAnsi="宋体" w:cs="宋体"/>
                <w:kern w:val="0"/>
                <w:u w:val="single"/>
              </w:rPr>
              <w:t>40</w:t>
            </w:r>
            <w:r>
              <w:rPr>
                <w:rFonts w:hint="eastAsia" w:ascii="宋体" w:hAnsi="宋体" w:cs="宋体"/>
                <w:kern w:val="0"/>
              </w:rPr>
              <w:t>分）</w:t>
            </w:r>
          </w:p>
        </w:tc>
        <w:tc>
          <w:tcPr>
            <w:tcW w:w="1753" w:type="dxa"/>
            <w:gridSpan w:val="2"/>
            <w:vAlign w:val="center"/>
          </w:tcPr>
          <w:p>
            <w:pPr>
              <w:spacing w:line="400" w:lineRule="exact"/>
              <w:jc w:val="center"/>
              <w:rPr>
                <w:rFonts w:ascii="宋体" w:hAnsi="宋体" w:cs="宋体"/>
                <w:kern w:val="0"/>
              </w:rPr>
            </w:pPr>
          </w:p>
        </w:tc>
        <w:tc>
          <w:tcPr>
            <w:tcW w:w="5476" w:type="dxa"/>
          </w:tcPr>
          <w:p>
            <w:pPr>
              <w:pStyle w:val="15"/>
              <w:numPr>
                <w:ilvl w:val="0"/>
                <w:numId w:val="3"/>
              </w:numPr>
              <w:spacing w:after="0" w:line="400" w:lineRule="exact"/>
              <w:ind w:left="0" w:leftChars="0" w:firstLine="420" w:firstLineChars="200"/>
              <w:rPr>
                <w:rFonts w:ascii="宋体" w:hAnsi="宋体" w:cs="宋体"/>
                <w:kern w:val="0"/>
                <w:sz w:val="21"/>
              </w:rPr>
            </w:pPr>
            <w:r>
              <w:rPr>
                <w:rFonts w:hint="eastAsia" w:ascii="宋体" w:hAnsi="宋体" w:cs="宋体"/>
                <w:kern w:val="0"/>
                <w:sz w:val="21"/>
              </w:rPr>
              <w:t>评审基准价计算方法：所有初步评审合格的比选申请人（比选申请报价高于最高限价的除外）的比选申请报价中去掉六分之一（不能整除的按小数点前整数取整，不足六家报价则不去掉）的最低价和相同家数的最高价后的算术平均值。</w:t>
            </w:r>
          </w:p>
          <w:p>
            <w:pPr>
              <w:pStyle w:val="15"/>
              <w:numPr>
                <w:ilvl w:val="0"/>
                <w:numId w:val="3"/>
              </w:numPr>
              <w:spacing w:after="0" w:line="400" w:lineRule="exact"/>
              <w:ind w:left="0" w:leftChars="0" w:firstLine="420" w:firstLineChars="200"/>
              <w:rPr>
                <w:rFonts w:ascii="宋体" w:hAnsi="宋体" w:cs="宋体"/>
                <w:kern w:val="0"/>
                <w:sz w:val="21"/>
              </w:rPr>
            </w:pPr>
            <w:r>
              <w:rPr>
                <w:rFonts w:hint="eastAsia" w:ascii="宋体" w:hAnsi="宋体" w:cs="宋体"/>
                <w:kern w:val="0"/>
                <w:sz w:val="21"/>
              </w:rPr>
              <w:t>偏差率计算方法：偏差率=（比选申请报价-评审基准价）/评审基准价*100%。</w:t>
            </w:r>
          </w:p>
          <w:p>
            <w:pPr>
              <w:pStyle w:val="15"/>
              <w:spacing w:after="0" w:line="400" w:lineRule="exact"/>
              <w:ind w:left="0" w:leftChars="0" w:firstLine="420" w:firstLineChars="200"/>
              <w:rPr>
                <w:rFonts w:ascii="宋体" w:hAnsi="宋体" w:cs="宋体"/>
                <w:sz w:val="21"/>
              </w:rPr>
            </w:pPr>
            <w:r>
              <w:rPr>
                <w:rFonts w:ascii="宋体" w:hAnsi="宋体" w:cs="宋体"/>
                <w:kern w:val="0"/>
                <w:sz w:val="21"/>
              </w:rPr>
              <w:t>2</w:t>
            </w:r>
            <w:r>
              <w:rPr>
                <w:rFonts w:hint="eastAsia" w:ascii="宋体" w:hAnsi="宋体" w:cs="宋体"/>
                <w:kern w:val="0"/>
                <w:sz w:val="21"/>
              </w:rPr>
              <w:t>、</w:t>
            </w:r>
            <w:r>
              <w:rPr>
                <w:rFonts w:hint="eastAsia" w:ascii="宋体" w:hAnsi="宋体" w:cs="宋体"/>
                <w:sz w:val="21"/>
              </w:rPr>
              <w:t>所有通过初步评审合格竞选人的竞选报价与评审基准价相等得满分，与评审基准价相比，每增加1%在</w:t>
            </w:r>
            <w:r>
              <w:rPr>
                <w:rFonts w:hint="eastAsia" w:ascii="宋体" w:hAnsi="宋体" w:cs="宋体"/>
                <w:sz w:val="21"/>
                <w:u w:val="single"/>
              </w:rPr>
              <w:t>40</w:t>
            </w:r>
            <w:r>
              <w:rPr>
                <w:rFonts w:hint="eastAsia" w:ascii="宋体" w:hAnsi="宋体" w:cs="宋体"/>
                <w:sz w:val="21"/>
              </w:rPr>
              <w:t>分的基础上扣0.</w:t>
            </w:r>
            <w:r>
              <w:rPr>
                <w:rFonts w:ascii="宋体" w:hAnsi="宋体" w:cs="宋体"/>
                <w:sz w:val="21"/>
              </w:rPr>
              <w:t>4</w:t>
            </w:r>
            <w:r>
              <w:rPr>
                <w:rFonts w:hint="eastAsia" w:ascii="宋体" w:hAnsi="宋体" w:cs="宋体"/>
                <w:sz w:val="21"/>
              </w:rPr>
              <w:t>分，每减少1%在</w:t>
            </w:r>
            <w:r>
              <w:rPr>
                <w:rFonts w:hint="eastAsia" w:ascii="宋体" w:hAnsi="宋体" w:cs="宋体"/>
                <w:sz w:val="21"/>
                <w:u w:val="single"/>
              </w:rPr>
              <w:t>40</w:t>
            </w:r>
            <w:r>
              <w:rPr>
                <w:rFonts w:hint="eastAsia" w:ascii="宋体" w:hAnsi="宋体" w:cs="宋体"/>
                <w:sz w:val="21"/>
              </w:rPr>
              <w:t>分的基础上扣0.</w:t>
            </w:r>
            <w:r>
              <w:rPr>
                <w:rFonts w:ascii="宋体" w:hAnsi="宋体" w:cs="宋体"/>
                <w:sz w:val="21"/>
              </w:rPr>
              <w:t>2</w:t>
            </w:r>
            <w:r>
              <w:rPr>
                <w:rFonts w:hint="eastAsia" w:ascii="宋体" w:hAnsi="宋体" w:cs="宋体"/>
                <w:sz w:val="21"/>
              </w:rPr>
              <w:t>分，扣完为止。</w:t>
            </w:r>
          </w:p>
          <w:p>
            <w:pPr>
              <w:pStyle w:val="15"/>
              <w:spacing w:after="0" w:line="400" w:lineRule="exact"/>
              <w:ind w:left="0" w:leftChars="0" w:firstLine="420" w:firstLineChars="200"/>
              <w:rPr>
                <w:rFonts w:ascii="宋体" w:hAnsi="宋体" w:cs="宋体"/>
                <w:kern w:val="0"/>
                <w:sz w:val="21"/>
              </w:rPr>
            </w:pPr>
            <w:r>
              <w:rPr>
                <w:rFonts w:hint="eastAsia" w:ascii="宋体" w:hAnsi="宋体" w:cs="宋体"/>
                <w:sz w:val="21"/>
              </w:rPr>
              <w:t>（按插入法计算得分；以上计算取小数点后两位，第三位四舍五入）</w:t>
            </w:r>
            <w:r>
              <w:rPr>
                <w:rFonts w:hint="eastAsia" w:ascii="宋体" w:hAnsi="宋体" w:cs="宋体"/>
                <w:kern w:val="0"/>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jc w:val="center"/>
        </w:trPr>
        <w:tc>
          <w:tcPr>
            <w:tcW w:w="820" w:type="dxa"/>
            <w:vMerge w:val="restart"/>
            <w:vAlign w:val="center"/>
          </w:tcPr>
          <w:p>
            <w:pPr>
              <w:snapToGrid w:val="0"/>
              <w:spacing w:line="400" w:lineRule="exact"/>
              <w:ind w:left="105" w:hanging="105" w:hangingChars="50"/>
              <w:jc w:val="center"/>
              <w:rPr>
                <w:rFonts w:ascii="宋体" w:hAnsi="宋体" w:cs="宋体"/>
                <w:kern w:val="0"/>
              </w:rPr>
            </w:pPr>
            <w:r>
              <w:rPr>
                <w:rFonts w:hint="eastAsia" w:ascii="宋体" w:hAnsi="宋体" w:cs="宋体"/>
                <w:kern w:val="0"/>
              </w:rPr>
              <w:t>2.2.4（2）</w:t>
            </w:r>
          </w:p>
        </w:tc>
        <w:tc>
          <w:tcPr>
            <w:tcW w:w="1415" w:type="dxa"/>
            <w:vMerge w:val="restart"/>
            <w:vAlign w:val="center"/>
          </w:tcPr>
          <w:p>
            <w:pPr>
              <w:snapToGrid w:val="0"/>
              <w:spacing w:line="400" w:lineRule="exact"/>
              <w:jc w:val="center"/>
              <w:rPr>
                <w:rFonts w:ascii="宋体" w:hAnsi="宋体" w:cs="宋体"/>
                <w:kern w:val="0"/>
              </w:rPr>
            </w:pPr>
            <w:r>
              <w:rPr>
                <w:rFonts w:hint="eastAsia" w:ascii="宋体" w:hAnsi="宋体" w:cs="宋体"/>
                <w:kern w:val="0"/>
              </w:rPr>
              <w:t>商务部分</w:t>
            </w:r>
          </w:p>
          <w:p>
            <w:pPr>
              <w:snapToGrid w:val="0"/>
              <w:spacing w:line="400" w:lineRule="exact"/>
              <w:jc w:val="center"/>
              <w:rPr>
                <w:rFonts w:ascii="宋体" w:hAnsi="宋体" w:cs="宋体"/>
                <w:kern w:val="0"/>
              </w:rPr>
            </w:pPr>
            <w:r>
              <w:rPr>
                <w:rFonts w:hint="eastAsia" w:ascii="宋体" w:hAnsi="宋体" w:cs="宋体"/>
                <w:kern w:val="0"/>
              </w:rPr>
              <w:t>评分标准</w:t>
            </w:r>
          </w:p>
          <w:p>
            <w:pPr>
              <w:snapToGrid w:val="0"/>
              <w:spacing w:line="400" w:lineRule="exact"/>
              <w:jc w:val="center"/>
              <w:rPr>
                <w:rFonts w:ascii="宋体" w:hAnsi="宋体" w:cs="宋体"/>
                <w:kern w:val="0"/>
              </w:rPr>
            </w:pPr>
            <w:r>
              <w:rPr>
                <w:rFonts w:hint="eastAsia" w:ascii="宋体" w:hAnsi="宋体" w:cs="宋体"/>
                <w:kern w:val="0"/>
              </w:rPr>
              <w:t>（</w:t>
            </w:r>
            <w:r>
              <w:rPr>
                <w:rFonts w:ascii="宋体" w:hAnsi="宋体" w:cs="宋体"/>
                <w:kern w:val="0"/>
                <w:u w:val="single"/>
              </w:rPr>
              <w:t>20</w:t>
            </w:r>
            <w:r>
              <w:rPr>
                <w:rFonts w:hint="eastAsia" w:ascii="宋体" w:hAnsi="宋体" w:cs="宋体"/>
                <w:kern w:val="0"/>
              </w:rPr>
              <w:t>分）</w:t>
            </w:r>
          </w:p>
        </w:tc>
        <w:tc>
          <w:tcPr>
            <w:tcW w:w="1753" w:type="dxa"/>
            <w:gridSpan w:val="2"/>
            <w:vAlign w:val="center"/>
          </w:tcPr>
          <w:p>
            <w:pPr>
              <w:tabs>
                <w:tab w:val="left" w:pos="2300"/>
              </w:tabs>
              <w:snapToGrid w:val="0"/>
              <w:spacing w:line="360" w:lineRule="auto"/>
              <w:rPr>
                <w:rFonts w:ascii="宋体" w:hAnsi="宋体" w:cs="宋体"/>
                <w:kern w:val="0"/>
              </w:rPr>
            </w:pPr>
            <w:r>
              <w:rPr>
                <w:rFonts w:hint="eastAsia" w:ascii="宋体" w:hAnsi="宋体" w:cs="宋体"/>
                <w:color w:val="000000"/>
                <w:kern w:val="0"/>
                <w:lang w:bidi="ar"/>
              </w:rPr>
              <w:t>企业实力（1</w:t>
            </w:r>
            <w:r>
              <w:rPr>
                <w:rFonts w:ascii="宋体" w:hAnsi="宋体" w:cs="宋体"/>
                <w:color w:val="000000"/>
                <w:kern w:val="0"/>
                <w:lang w:bidi="ar"/>
              </w:rPr>
              <w:t>0</w:t>
            </w:r>
            <w:r>
              <w:rPr>
                <w:rFonts w:hint="eastAsia" w:ascii="宋体" w:hAnsi="宋体" w:cs="宋体"/>
                <w:color w:val="000000"/>
                <w:kern w:val="0"/>
                <w:lang w:bidi="ar"/>
              </w:rPr>
              <w:t>分）</w:t>
            </w:r>
          </w:p>
        </w:tc>
        <w:tc>
          <w:tcPr>
            <w:tcW w:w="5476" w:type="dxa"/>
            <w:vAlign w:val="center"/>
          </w:tcPr>
          <w:p>
            <w:pPr>
              <w:snapToGrid w:val="0"/>
              <w:spacing w:before="156" w:beforeLines="50" w:line="360" w:lineRule="auto"/>
              <w:rPr>
                <w:rFonts w:ascii="宋体" w:hAnsi="宋体" w:cs="宋体"/>
                <w:color w:val="000000"/>
                <w:kern w:val="0"/>
                <w:lang w:bidi="ar"/>
              </w:rPr>
            </w:pPr>
            <w:r>
              <w:rPr>
                <w:rFonts w:hint="eastAsia" w:ascii="宋体" w:hAnsi="宋体" w:cs="宋体"/>
                <w:color w:val="000000"/>
                <w:kern w:val="0"/>
                <w:lang w:bidi="ar"/>
              </w:rPr>
              <w:t>1.比选申请人具有中国合格评定国家认可委员会实验室认可证书（CNAS）和检验监测机构资质认定证书（CMA）的得4分，具备任意一个的得2分；（提供证明材料复印件并加盖比选申请人公章）</w:t>
            </w:r>
          </w:p>
          <w:p>
            <w:pPr>
              <w:snapToGrid w:val="0"/>
              <w:spacing w:before="156" w:beforeLines="50" w:line="360" w:lineRule="auto"/>
              <w:rPr>
                <w:rFonts w:ascii="宋体" w:hAnsi="宋体" w:cs="宋体"/>
                <w:b/>
              </w:rPr>
            </w:pPr>
            <w:r>
              <w:rPr>
                <w:rFonts w:ascii="宋体" w:hAnsi="宋体" w:cs="宋体"/>
                <w:color w:val="000000"/>
                <w:kern w:val="0"/>
                <w:lang w:bidi="ar"/>
              </w:rPr>
              <w:t>2</w:t>
            </w:r>
            <w:r>
              <w:rPr>
                <w:rFonts w:hint="eastAsia" w:ascii="宋体" w:hAnsi="宋体" w:cs="宋体"/>
                <w:color w:val="000000"/>
                <w:kern w:val="0"/>
                <w:lang w:bidi="ar"/>
              </w:rPr>
              <w:t>.比选申请人是省级（直辖市）政府主管部门网络信息安全或者数据安全等技术服务机构的，每有一项得</w:t>
            </w:r>
            <w:r>
              <w:rPr>
                <w:rFonts w:ascii="宋体" w:hAnsi="宋体" w:cs="宋体"/>
                <w:color w:val="000000"/>
                <w:kern w:val="0"/>
                <w:lang w:bidi="ar"/>
              </w:rPr>
              <w:t>2</w:t>
            </w:r>
            <w:r>
              <w:rPr>
                <w:rFonts w:hint="eastAsia" w:ascii="宋体" w:hAnsi="宋体" w:cs="宋体"/>
                <w:color w:val="000000"/>
                <w:kern w:val="0"/>
                <w:lang w:bidi="ar"/>
              </w:rPr>
              <w:t>分，最多得</w:t>
            </w:r>
            <w:r>
              <w:rPr>
                <w:rFonts w:ascii="宋体" w:hAnsi="宋体" w:cs="宋体"/>
                <w:color w:val="000000"/>
                <w:kern w:val="0"/>
                <w:lang w:bidi="ar"/>
              </w:rPr>
              <w:t>6</w:t>
            </w:r>
            <w:r>
              <w:rPr>
                <w:rFonts w:hint="eastAsia" w:ascii="宋体" w:hAnsi="宋体" w:cs="宋体"/>
                <w:color w:val="000000"/>
                <w:kern w:val="0"/>
                <w:lang w:bidi="ar"/>
              </w:rPr>
              <w:t>分。（提供证明材料复印件并加盖比选申请人公章）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820" w:type="dxa"/>
            <w:vMerge w:val="continue"/>
            <w:vAlign w:val="center"/>
          </w:tcPr>
          <w:p>
            <w:pPr>
              <w:snapToGrid w:val="0"/>
              <w:spacing w:line="400" w:lineRule="exact"/>
              <w:ind w:left="105" w:hanging="105" w:hangingChars="50"/>
              <w:jc w:val="center"/>
              <w:rPr>
                <w:rFonts w:ascii="宋体" w:hAnsi="宋体" w:cs="宋体"/>
                <w:kern w:val="0"/>
              </w:rPr>
            </w:pPr>
          </w:p>
        </w:tc>
        <w:tc>
          <w:tcPr>
            <w:tcW w:w="1415" w:type="dxa"/>
            <w:vMerge w:val="continue"/>
            <w:vAlign w:val="center"/>
          </w:tcPr>
          <w:p>
            <w:pPr>
              <w:snapToGrid w:val="0"/>
              <w:spacing w:line="400" w:lineRule="exact"/>
              <w:jc w:val="center"/>
              <w:rPr>
                <w:rFonts w:ascii="宋体" w:hAnsi="宋体" w:cs="宋体"/>
                <w:kern w:val="0"/>
              </w:rPr>
            </w:pPr>
          </w:p>
        </w:tc>
        <w:tc>
          <w:tcPr>
            <w:tcW w:w="1753" w:type="dxa"/>
            <w:gridSpan w:val="2"/>
            <w:vAlign w:val="center"/>
          </w:tcPr>
          <w:p>
            <w:pPr>
              <w:snapToGrid w:val="0"/>
              <w:spacing w:line="400" w:lineRule="exact"/>
              <w:rPr>
                <w:rFonts w:ascii="宋体" w:hAnsi="宋体" w:cs="宋体"/>
                <w:kern w:val="0"/>
              </w:rPr>
            </w:pPr>
            <w:r>
              <w:rPr>
                <w:rFonts w:hint="eastAsia" w:ascii="宋体" w:hAnsi="宋体" w:cs="宋体"/>
                <w:color w:val="000000"/>
              </w:rPr>
              <w:t>同类项目业绩（1</w:t>
            </w:r>
            <w:r>
              <w:rPr>
                <w:rFonts w:ascii="宋体" w:hAnsi="宋体" w:cs="宋体"/>
                <w:color w:val="000000"/>
              </w:rPr>
              <w:t>0</w:t>
            </w:r>
            <w:r>
              <w:rPr>
                <w:rFonts w:hint="eastAsia" w:ascii="宋体" w:hAnsi="宋体" w:cs="宋体"/>
                <w:color w:val="000000"/>
              </w:rPr>
              <w:t>分）</w:t>
            </w:r>
          </w:p>
        </w:tc>
        <w:tc>
          <w:tcPr>
            <w:tcW w:w="5476" w:type="dxa"/>
            <w:vAlign w:val="center"/>
          </w:tcPr>
          <w:p>
            <w:pPr>
              <w:tabs>
                <w:tab w:val="left" w:pos="2300"/>
              </w:tabs>
              <w:snapToGrid w:val="0"/>
              <w:spacing w:line="400" w:lineRule="exact"/>
              <w:rPr>
                <w:rFonts w:ascii="宋体" w:hAnsi="宋体" w:cs="宋体"/>
              </w:rPr>
            </w:pPr>
            <w:r>
              <w:rPr>
                <w:rFonts w:hint="eastAsia" w:ascii="宋体" w:hAnsi="宋体" w:cs="宋体"/>
                <w:color w:val="000000"/>
                <w:kern w:val="0"/>
                <w:lang w:bidi="ar"/>
              </w:rPr>
              <w:t>1.比选申请人202</w:t>
            </w:r>
            <w:r>
              <w:rPr>
                <w:rFonts w:ascii="宋体" w:hAnsi="宋体" w:cs="宋体"/>
                <w:color w:val="000000"/>
                <w:kern w:val="0"/>
                <w:lang w:bidi="ar"/>
              </w:rPr>
              <w:t>3</w:t>
            </w:r>
            <w:r>
              <w:rPr>
                <w:rFonts w:hint="eastAsia" w:ascii="宋体" w:hAnsi="宋体" w:cs="宋体"/>
                <w:color w:val="000000"/>
                <w:kern w:val="0"/>
                <w:lang w:bidi="ar"/>
              </w:rPr>
              <w:t>年1月1日至递交比选申请文件截止时间，具有支撑网络安全、信息安全或数据安全或个人信息保护等省级（直辖市）政府主管部门开展安全检测案例的，每提供1个业绩得2分，本项最多得6分；（提供项目任务书或中选通知书或合同等证明材料复印件，加盖比选申请人公章（若提供的是合同，至少应提供：合同首页、金额页、合同标的页、签章页））</w:t>
            </w:r>
            <w:r>
              <w:rPr>
                <w:rFonts w:hint="eastAsia" w:ascii="宋体" w:hAnsi="宋体" w:cs="宋体"/>
                <w:color w:val="000000"/>
                <w:kern w:val="0"/>
                <w:lang w:bidi="ar"/>
              </w:rPr>
              <w:br w:type="textWrapping"/>
            </w:r>
            <w:r>
              <w:rPr>
                <w:rFonts w:hint="eastAsia" w:ascii="宋体" w:hAnsi="宋体" w:cs="宋体"/>
                <w:color w:val="000000"/>
                <w:kern w:val="0"/>
                <w:lang w:bidi="ar"/>
              </w:rPr>
              <w:t>2.比选申请人</w:t>
            </w:r>
            <w:r>
              <w:rPr>
                <w:rFonts w:ascii="宋体" w:hAnsi="宋体" w:cs="宋体"/>
                <w:color w:val="000000"/>
                <w:kern w:val="0"/>
                <w:lang w:bidi="ar"/>
              </w:rPr>
              <w:t>2023</w:t>
            </w:r>
            <w:r>
              <w:rPr>
                <w:rFonts w:hint="eastAsia" w:ascii="宋体" w:hAnsi="宋体" w:cs="宋体"/>
                <w:color w:val="000000"/>
                <w:kern w:val="0"/>
                <w:lang w:bidi="ar"/>
              </w:rPr>
              <w:t>年</w:t>
            </w:r>
            <w:r>
              <w:rPr>
                <w:rFonts w:ascii="宋体" w:hAnsi="宋体" w:cs="宋体"/>
                <w:color w:val="000000"/>
                <w:kern w:val="0"/>
                <w:lang w:bidi="ar"/>
              </w:rPr>
              <w:t>1月1日至递交比选申请文件截止时间，具有信息系统网络安全相关测试评估或网络安全技术服务案例且合同金额大于50</w:t>
            </w:r>
            <w:r>
              <w:rPr>
                <w:rFonts w:hint="eastAsia" w:ascii="宋体" w:hAnsi="宋体" w:cs="宋体"/>
                <w:color w:val="000000"/>
                <w:kern w:val="0"/>
                <w:lang w:bidi="ar"/>
              </w:rPr>
              <w:t>万的，每提供一份得1分，最高得4分。（提供中选通知书或合同，并加盖比选申请人公章。若提供的是合同，至少应提供合同首页、金额页、合同标的页、签章页并加盖比选申请人公章）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820" w:type="dxa"/>
            <w:vMerge w:val="restart"/>
            <w:vAlign w:val="center"/>
          </w:tcPr>
          <w:p>
            <w:pPr>
              <w:snapToGrid w:val="0"/>
              <w:spacing w:line="400" w:lineRule="exact"/>
              <w:jc w:val="center"/>
              <w:rPr>
                <w:rFonts w:ascii="宋体" w:hAnsi="宋体" w:cs="宋体"/>
                <w:kern w:val="0"/>
              </w:rPr>
            </w:pPr>
            <w:r>
              <w:rPr>
                <w:rFonts w:hint="eastAsia" w:ascii="宋体" w:hAnsi="宋体" w:cs="宋体"/>
                <w:kern w:val="0"/>
              </w:rPr>
              <w:t>2.2.4</w:t>
            </w:r>
          </w:p>
          <w:p>
            <w:pPr>
              <w:snapToGrid w:val="0"/>
              <w:spacing w:line="400" w:lineRule="exact"/>
              <w:jc w:val="center"/>
              <w:rPr>
                <w:rFonts w:ascii="宋体" w:hAnsi="宋体" w:cs="宋体"/>
                <w:kern w:val="0"/>
              </w:rPr>
            </w:pPr>
            <w:r>
              <w:rPr>
                <w:rFonts w:hint="eastAsia" w:ascii="宋体" w:hAnsi="宋体" w:cs="宋体"/>
                <w:kern w:val="0"/>
              </w:rPr>
              <w:t>（3）</w:t>
            </w:r>
          </w:p>
        </w:tc>
        <w:tc>
          <w:tcPr>
            <w:tcW w:w="1415" w:type="dxa"/>
            <w:vMerge w:val="restart"/>
            <w:vAlign w:val="center"/>
          </w:tcPr>
          <w:p>
            <w:pPr>
              <w:snapToGrid w:val="0"/>
              <w:spacing w:line="400" w:lineRule="exact"/>
              <w:jc w:val="center"/>
              <w:rPr>
                <w:rFonts w:ascii="宋体" w:hAnsi="宋体" w:cs="宋体"/>
                <w:kern w:val="0"/>
              </w:rPr>
            </w:pPr>
            <w:r>
              <w:rPr>
                <w:rFonts w:hint="eastAsia" w:ascii="宋体" w:hAnsi="宋体" w:cs="宋体"/>
                <w:kern w:val="0"/>
              </w:rPr>
              <w:t>技术部分</w:t>
            </w:r>
          </w:p>
          <w:p>
            <w:pPr>
              <w:snapToGrid w:val="0"/>
              <w:spacing w:line="400" w:lineRule="exact"/>
              <w:jc w:val="center"/>
              <w:rPr>
                <w:rFonts w:ascii="宋体" w:hAnsi="宋体" w:cs="宋体"/>
                <w:kern w:val="0"/>
              </w:rPr>
            </w:pPr>
            <w:r>
              <w:rPr>
                <w:rFonts w:hint="eastAsia" w:ascii="宋体" w:hAnsi="宋体" w:cs="宋体"/>
                <w:kern w:val="0"/>
              </w:rPr>
              <w:t>评分标准</w:t>
            </w:r>
          </w:p>
          <w:p>
            <w:pPr>
              <w:pStyle w:val="38"/>
              <w:rPr>
                <w:rFonts w:ascii="宋体" w:hAnsi="宋体" w:cs="宋体"/>
                <w:sz w:val="21"/>
                <w:szCs w:val="21"/>
                <w:u w:val="none"/>
                <w:lang w:eastAsia="zh-CN"/>
              </w:rPr>
            </w:pPr>
            <w:r>
              <w:rPr>
                <w:rFonts w:hint="eastAsia" w:ascii="宋体" w:hAnsi="宋体" w:cs="宋体"/>
                <w:sz w:val="21"/>
                <w:szCs w:val="21"/>
                <w:u w:val="none"/>
                <w:lang w:eastAsia="zh-CN"/>
              </w:rPr>
              <w:t>（</w:t>
            </w:r>
            <w:r>
              <w:rPr>
                <w:rFonts w:ascii="宋体" w:hAnsi="宋体" w:cs="宋体"/>
                <w:sz w:val="21"/>
                <w:szCs w:val="21"/>
                <w:lang w:eastAsia="zh-CN"/>
              </w:rPr>
              <w:t>40</w:t>
            </w:r>
            <w:r>
              <w:rPr>
                <w:rFonts w:hint="eastAsia" w:ascii="宋体" w:hAnsi="宋体" w:cs="宋体"/>
                <w:sz w:val="21"/>
                <w:szCs w:val="21"/>
                <w:u w:val="none"/>
                <w:lang w:eastAsia="zh-CN"/>
              </w:rPr>
              <w:t>分）</w:t>
            </w:r>
          </w:p>
        </w:tc>
        <w:tc>
          <w:tcPr>
            <w:tcW w:w="1753" w:type="dxa"/>
            <w:gridSpan w:val="2"/>
            <w:vAlign w:val="center"/>
          </w:tcPr>
          <w:p>
            <w:pPr>
              <w:snapToGrid w:val="0"/>
              <w:spacing w:line="400" w:lineRule="exact"/>
              <w:rPr>
                <w:rFonts w:ascii="宋体" w:hAnsi="宋体" w:cs="宋体"/>
              </w:rPr>
            </w:pPr>
            <w:r>
              <w:rPr>
                <w:rFonts w:hint="eastAsia" w:ascii="宋体" w:hAnsi="宋体" w:cs="宋体"/>
                <w:color w:val="000000"/>
                <w:kern w:val="0"/>
                <w:lang w:bidi="ar"/>
              </w:rPr>
              <w:t>技术条款（1</w:t>
            </w:r>
            <w:r>
              <w:rPr>
                <w:rFonts w:ascii="宋体" w:hAnsi="宋体" w:cs="宋体"/>
                <w:color w:val="000000"/>
                <w:kern w:val="0"/>
                <w:lang w:bidi="ar"/>
              </w:rPr>
              <w:t>0</w:t>
            </w:r>
            <w:r>
              <w:rPr>
                <w:rFonts w:hint="eastAsia" w:ascii="宋体" w:hAnsi="宋体" w:cs="宋体"/>
                <w:color w:val="000000"/>
                <w:kern w:val="0"/>
                <w:lang w:bidi="ar"/>
              </w:rPr>
              <w:t>分）</w:t>
            </w:r>
          </w:p>
        </w:tc>
        <w:tc>
          <w:tcPr>
            <w:tcW w:w="5476" w:type="dxa"/>
            <w:vAlign w:val="center"/>
          </w:tcPr>
          <w:p>
            <w:pPr>
              <w:rPr>
                <w:rFonts w:ascii="宋体" w:hAnsi="宋体"/>
                <w:color w:val="000000"/>
              </w:rPr>
            </w:pPr>
            <w:r>
              <w:rPr>
                <w:rFonts w:hint="eastAsia" w:ascii="宋体" w:hAnsi="宋体"/>
                <w:color w:val="000000"/>
              </w:rPr>
              <w:t>1.起评分：有效比选申请人的起评分为</w:t>
            </w:r>
            <w:r>
              <w:rPr>
                <w:rFonts w:ascii="宋体" w:hAnsi="宋体"/>
                <w:color w:val="000000"/>
              </w:rPr>
              <w:t>1</w:t>
            </w:r>
            <w:r>
              <w:rPr>
                <w:rFonts w:hint="eastAsia" w:ascii="宋体" w:hAnsi="宋体"/>
                <w:color w:val="000000"/>
              </w:rPr>
              <w:t>0分。</w:t>
            </w:r>
          </w:p>
          <w:p>
            <w:pPr>
              <w:rPr>
                <w:rFonts w:ascii="宋体" w:hAnsi="宋体"/>
                <w:color w:val="000000"/>
              </w:rPr>
            </w:pPr>
            <w:r>
              <w:rPr>
                <w:rFonts w:hint="eastAsia" w:ascii="宋体" w:hAnsi="宋体"/>
                <w:color w:val="000000"/>
              </w:rPr>
              <w:t>2.扣分条款：比选申请文件服务需求响应偏离表中有一条不满足比选文件重要服务需求（本比选文件第一部分3.1、比选范围及内容中带“★”号标注的部分），从起评分中扣除</w:t>
            </w:r>
            <w:r>
              <w:rPr>
                <w:rFonts w:ascii="宋体" w:hAnsi="宋体"/>
                <w:color w:val="000000"/>
              </w:rPr>
              <w:t>5</w:t>
            </w:r>
            <w:r>
              <w:rPr>
                <w:rFonts w:hint="eastAsia" w:ascii="宋体" w:hAnsi="宋体"/>
                <w:color w:val="000000"/>
              </w:rPr>
              <w:t>分，有</w:t>
            </w:r>
            <w:r>
              <w:rPr>
                <w:rFonts w:ascii="宋体" w:hAnsi="宋体"/>
                <w:color w:val="000000"/>
              </w:rPr>
              <w:t>2</w:t>
            </w:r>
            <w:r>
              <w:rPr>
                <w:rFonts w:hint="eastAsia" w:ascii="宋体" w:hAnsi="宋体"/>
                <w:color w:val="000000"/>
              </w:rPr>
              <w:t>条及以上不满足的，</w:t>
            </w:r>
            <w:r>
              <w:rPr>
                <w:rFonts w:hint="eastAsia" w:ascii="宋体" w:hAnsi="宋体"/>
                <w:color w:val="000000"/>
                <w:lang w:eastAsia="zh-Hans"/>
              </w:rPr>
              <w:t>该项得</w:t>
            </w:r>
            <w:r>
              <w:rPr>
                <w:rFonts w:ascii="宋体" w:hAnsi="宋体"/>
                <w:color w:val="000000"/>
                <w:lang w:eastAsia="zh-Hans"/>
              </w:rPr>
              <w:t>0</w:t>
            </w:r>
            <w:r>
              <w:rPr>
                <w:rFonts w:hint="eastAsia" w:ascii="宋体" w:hAnsi="宋体"/>
                <w:color w:val="000000"/>
                <w:lang w:eastAsia="zh-Hans"/>
              </w:rPr>
              <w:t>分</w:t>
            </w:r>
            <w:r>
              <w:rPr>
                <w:rFonts w:hint="eastAsia"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820" w:type="dxa"/>
            <w:vMerge w:val="continue"/>
            <w:vAlign w:val="center"/>
          </w:tcPr>
          <w:p>
            <w:pPr>
              <w:snapToGrid w:val="0"/>
              <w:spacing w:line="400" w:lineRule="exact"/>
              <w:jc w:val="center"/>
              <w:rPr>
                <w:rFonts w:ascii="宋体" w:hAnsi="宋体" w:cs="宋体"/>
                <w:kern w:val="0"/>
              </w:rPr>
            </w:pPr>
          </w:p>
        </w:tc>
        <w:tc>
          <w:tcPr>
            <w:tcW w:w="1415" w:type="dxa"/>
            <w:vMerge w:val="continue"/>
            <w:vAlign w:val="center"/>
          </w:tcPr>
          <w:p>
            <w:pPr>
              <w:pStyle w:val="38"/>
              <w:rPr>
                <w:rFonts w:ascii="宋体" w:hAnsi="宋体" w:cs="宋体"/>
                <w:sz w:val="21"/>
                <w:szCs w:val="21"/>
                <w:u w:val="none"/>
                <w:lang w:eastAsia="zh-CN"/>
              </w:rPr>
            </w:pPr>
          </w:p>
        </w:tc>
        <w:tc>
          <w:tcPr>
            <w:tcW w:w="1753" w:type="dxa"/>
            <w:gridSpan w:val="2"/>
            <w:vAlign w:val="center"/>
          </w:tcPr>
          <w:p>
            <w:pPr>
              <w:snapToGrid w:val="0"/>
              <w:spacing w:line="400" w:lineRule="exact"/>
              <w:jc w:val="center"/>
              <w:rPr>
                <w:rFonts w:ascii="宋体" w:hAnsi="宋体" w:cs="宋体"/>
              </w:rPr>
            </w:pPr>
            <w:r>
              <w:rPr>
                <w:rFonts w:hint="eastAsia" w:ascii="宋体" w:hAnsi="宋体" w:cs="宋体"/>
                <w:color w:val="000000"/>
              </w:rPr>
              <w:t>整体方案（1</w:t>
            </w:r>
            <w:r>
              <w:rPr>
                <w:rFonts w:ascii="宋体" w:hAnsi="宋体" w:cs="宋体"/>
                <w:color w:val="000000"/>
              </w:rPr>
              <w:t>5</w:t>
            </w:r>
            <w:r>
              <w:rPr>
                <w:rFonts w:hint="eastAsia" w:ascii="宋体" w:hAnsi="宋体" w:cs="宋体"/>
                <w:color w:val="000000"/>
              </w:rPr>
              <w:t>分）</w:t>
            </w:r>
          </w:p>
        </w:tc>
        <w:tc>
          <w:tcPr>
            <w:tcW w:w="5476" w:type="dxa"/>
          </w:tcPr>
          <w:p>
            <w:pPr>
              <w:tabs>
                <w:tab w:val="left" w:pos="2300"/>
              </w:tabs>
              <w:snapToGrid w:val="0"/>
              <w:spacing w:line="400" w:lineRule="exact"/>
              <w:rPr>
                <w:rFonts w:ascii="宋体" w:hAnsi="宋体" w:cs="宋体"/>
              </w:rPr>
            </w:pPr>
            <w:r>
              <w:rPr>
                <w:rFonts w:hint="eastAsia" w:ascii="宋体" w:hAnsi="宋体" w:cs="宋体"/>
                <w:color w:val="000000"/>
                <w:kern w:val="0"/>
                <w:lang w:bidi="ar"/>
              </w:rPr>
              <w:t>根据比选申请人提供的服务及现场实施方案、服务质量保障方案的完善性、合理性、针对性进行评分。</w:t>
            </w:r>
            <w:r>
              <w:rPr>
                <w:rFonts w:hint="eastAsia" w:ascii="宋体" w:hAnsi="宋体"/>
              </w:rPr>
              <w:t>优得10</w:t>
            </w:r>
            <w:r>
              <w:rPr>
                <w:rFonts w:ascii="宋体" w:hAnsi="宋体"/>
              </w:rPr>
              <w:t>-</w:t>
            </w:r>
            <w:r>
              <w:rPr>
                <w:rFonts w:hint="eastAsia" w:ascii="宋体" w:hAnsi="宋体"/>
              </w:rPr>
              <w:t>15分，良得5</w:t>
            </w:r>
            <w:r>
              <w:rPr>
                <w:rFonts w:ascii="宋体" w:hAnsi="宋体"/>
              </w:rPr>
              <w:t>-</w:t>
            </w:r>
            <w:r>
              <w:rPr>
                <w:rFonts w:hint="eastAsia" w:ascii="宋体" w:hAnsi="宋体"/>
              </w:rPr>
              <w:t>9分，差</w:t>
            </w:r>
            <w:r>
              <w:rPr>
                <w:rFonts w:hint="eastAsia" w:ascii="宋体" w:hAnsi="宋体"/>
                <w:lang w:eastAsia="zh-Hans"/>
              </w:rPr>
              <w:t>得</w:t>
            </w:r>
            <w:r>
              <w:rPr>
                <w:rFonts w:hint="eastAsia" w:ascii="宋体" w:hAnsi="宋体"/>
              </w:rPr>
              <w:t>0</w:t>
            </w:r>
            <w:r>
              <w:rPr>
                <w:rFonts w:ascii="宋体" w:hAnsi="宋体"/>
              </w:rPr>
              <w:t>-</w:t>
            </w:r>
            <w:r>
              <w:rPr>
                <w:rFonts w:hint="eastAsia" w:ascii="宋体" w:hAnsi="宋体"/>
              </w:rPr>
              <w:t>4</w:t>
            </w:r>
            <w:r>
              <w:rPr>
                <w:rFonts w:hint="eastAsia" w:ascii="宋体" w:hAnsi="宋体"/>
                <w:lang w:eastAsia="zh-Hans"/>
              </w:rPr>
              <w:t>分</w:t>
            </w:r>
            <w:r>
              <w:rPr>
                <w:rFonts w:hint="eastAsia" w:ascii="宋体" w:hAnsi="宋体"/>
              </w:rPr>
              <w:t>。</w:t>
            </w:r>
            <w:r>
              <w:rPr>
                <w:rFonts w:hint="eastAsia" w:ascii="宋体" w:hAnsi="宋体"/>
                <w:lang w:eastAsia="zh-Hans"/>
              </w:rPr>
              <w:t>未提供</w:t>
            </w:r>
            <w:r>
              <w:rPr>
                <w:rFonts w:hint="eastAsia" w:ascii="宋体" w:hAnsi="宋体"/>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820" w:type="dxa"/>
            <w:vMerge w:val="continue"/>
            <w:vAlign w:val="center"/>
          </w:tcPr>
          <w:p>
            <w:pPr>
              <w:snapToGrid w:val="0"/>
              <w:spacing w:line="400" w:lineRule="exact"/>
              <w:jc w:val="center"/>
              <w:rPr>
                <w:rFonts w:ascii="宋体" w:hAnsi="宋体" w:cs="宋体"/>
                <w:kern w:val="0"/>
              </w:rPr>
            </w:pPr>
          </w:p>
        </w:tc>
        <w:tc>
          <w:tcPr>
            <w:tcW w:w="1415" w:type="dxa"/>
            <w:vMerge w:val="continue"/>
            <w:vAlign w:val="center"/>
          </w:tcPr>
          <w:p>
            <w:pPr>
              <w:pStyle w:val="38"/>
              <w:rPr>
                <w:rFonts w:ascii="宋体" w:hAnsi="宋体" w:cs="宋体"/>
                <w:sz w:val="21"/>
                <w:szCs w:val="21"/>
                <w:u w:val="none"/>
                <w:lang w:eastAsia="zh-CN"/>
              </w:rPr>
            </w:pPr>
          </w:p>
        </w:tc>
        <w:tc>
          <w:tcPr>
            <w:tcW w:w="1753" w:type="dxa"/>
            <w:gridSpan w:val="2"/>
            <w:vAlign w:val="center"/>
          </w:tcPr>
          <w:p>
            <w:pPr>
              <w:snapToGrid w:val="0"/>
              <w:spacing w:line="400" w:lineRule="exact"/>
              <w:rPr>
                <w:rFonts w:ascii="宋体" w:hAnsi="宋体" w:cs="宋体"/>
              </w:rPr>
            </w:pPr>
            <w:r>
              <w:rPr>
                <w:rFonts w:hint="eastAsia" w:ascii="宋体" w:hAnsi="宋体" w:cs="宋体"/>
                <w:color w:val="000000"/>
                <w:kern w:val="0"/>
                <w:lang w:bidi="ar"/>
              </w:rPr>
              <w:t>团队实力（1</w:t>
            </w:r>
            <w:r>
              <w:rPr>
                <w:rFonts w:ascii="宋体" w:hAnsi="宋体" w:cs="宋体"/>
                <w:color w:val="000000"/>
                <w:kern w:val="0"/>
                <w:lang w:bidi="ar"/>
              </w:rPr>
              <w:t>0</w:t>
            </w:r>
            <w:r>
              <w:rPr>
                <w:rFonts w:hint="eastAsia" w:ascii="宋体" w:hAnsi="宋体" w:cs="宋体"/>
                <w:color w:val="000000"/>
                <w:kern w:val="0"/>
                <w:lang w:bidi="ar"/>
              </w:rPr>
              <w:t>分）</w:t>
            </w:r>
          </w:p>
        </w:tc>
        <w:tc>
          <w:tcPr>
            <w:tcW w:w="5476" w:type="dxa"/>
            <w:vAlign w:val="center"/>
          </w:tcPr>
          <w:p>
            <w:pPr>
              <w:snapToGrid w:val="0"/>
              <w:spacing w:line="400" w:lineRule="exact"/>
              <w:rPr>
                <w:rFonts w:ascii="宋体" w:hAnsi="宋体" w:cs="宋体"/>
              </w:rPr>
            </w:pPr>
            <w:r>
              <w:rPr>
                <w:rFonts w:hint="eastAsia" w:ascii="宋体" w:hAnsi="宋体" w:cs="宋体"/>
              </w:rPr>
              <w:t>拟派本项目团队成员原则上不少于6人，其中项目经理应具备信息系统项目管理师和相关信息安全人员认证资格，其余成员应具备5个及以上CISP或CISSP或CISAW人员证书，全部具备得1</w:t>
            </w:r>
            <w:r>
              <w:rPr>
                <w:rFonts w:ascii="宋体" w:hAnsi="宋体" w:cs="宋体"/>
              </w:rPr>
              <w:t>0</w:t>
            </w:r>
            <w:r>
              <w:rPr>
                <w:rFonts w:hint="eastAsia" w:ascii="宋体" w:hAnsi="宋体" w:cs="宋体"/>
              </w:rPr>
              <w:t>分，缺一个扣</w:t>
            </w:r>
            <w:r>
              <w:rPr>
                <w:rFonts w:ascii="宋体" w:hAnsi="宋体" w:cs="宋体"/>
              </w:rPr>
              <w:t>2</w:t>
            </w:r>
            <w:r>
              <w:rPr>
                <w:rFonts w:hint="eastAsia" w:ascii="宋体" w:hAnsi="宋体" w:cs="宋体"/>
              </w:rPr>
              <w:t>分，不具备不得分。（提供证书复印件及比选申请人为其缴纳的近六个月的社保证明材料复印件并加盖比选申请人公章。）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820" w:type="dxa"/>
            <w:vMerge w:val="continue"/>
            <w:vAlign w:val="center"/>
          </w:tcPr>
          <w:p>
            <w:pPr>
              <w:snapToGrid w:val="0"/>
              <w:spacing w:line="400" w:lineRule="exact"/>
              <w:jc w:val="center"/>
              <w:rPr>
                <w:rFonts w:ascii="宋体" w:hAnsi="宋体" w:cs="宋体"/>
                <w:kern w:val="0"/>
              </w:rPr>
            </w:pPr>
          </w:p>
        </w:tc>
        <w:tc>
          <w:tcPr>
            <w:tcW w:w="1415" w:type="dxa"/>
            <w:vMerge w:val="continue"/>
            <w:vAlign w:val="center"/>
          </w:tcPr>
          <w:p>
            <w:pPr>
              <w:pStyle w:val="38"/>
              <w:rPr>
                <w:rFonts w:ascii="宋体" w:hAnsi="宋体" w:cs="宋体"/>
                <w:sz w:val="21"/>
                <w:szCs w:val="21"/>
                <w:u w:val="none"/>
                <w:lang w:eastAsia="zh-CN"/>
              </w:rPr>
            </w:pPr>
          </w:p>
        </w:tc>
        <w:tc>
          <w:tcPr>
            <w:tcW w:w="1753" w:type="dxa"/>
            <w:gridSpan w:val="2"/>
            <w:vAlign w:val="center"/>
          </w:tcPr>
          <w:p>
            <w:pPr>
              <w:snapToGrid w:val="0"/>
              <w:spacing w:line="400" w:lineRule="exact"/>
              <w:rPr>
                <w:rFonts w:ascii="宋体" w:hAnsi="宋体" w:cs="宋体"/>
                <w:color w:val="000000"/>
                <w:kern w:val="0"/>
                <w:lang w:bidi="ar"/>
              </w:rPr>
            </w:pPr>
            <w:r>
              <w:rPr>
                <w:rFonts w:hint="eastAsia" w:ascii="宋体" w:hAnsi="宋体" w:cs="宋体"/>
                <w:color w:val="000000"/>
                <w:kern w:val="0"/>
                <w:lang w:bidi="ar"/>
              </w:rPr>
              <w:t>驻场人员（5分）</w:t>
            </w:r>
          </w:p>
        </w:tc>
        <w:tc>
          <w:tcPr>
            <w:tcW w:w="5476" w:type="dxa"/>
            <w:vAlign w:val="center"/>
          </w:tcPr>
          <w:p>
            <w:pPr>
              <w:snapToGrid w:val="0"/>
              <w:spacing w:line="400" w:lineRule="exact"/>
              <w:rPr>
                <w:rFonts w:ascii="宋体" w:hAnsi="宋体" w:cs="宋体"/>
              </w:rPr>
            </w:pPr>
            <w:r>
              <w:rPr>
                <w:rFonts w:hint="eastAsia" w:ascii="宋体" w:hAnsi="宋体" w:cs="宋体"/>
              </w:rPr>
              <w:t>驻场成员应具备CISP或CISSP或CISAW人员证书，具备得</w:t>
            </w:r>
            <w:r>
              <w:rPr>
                <w:rFonts w:ascii="宋体" w:hAnsi="宋体" w:cs="宋体"/>
              </w:rPr>
              <w:t>5</w:t>
            </w:r>
            <w:r>
              <w:rPr>
                <w:rFonts w:hint="eastAsia" w:ascii="宋体" w:hAnsi="宋体" w:cs="宋体"/>
              </w:rPr>
              <w:t>分，不具备不得分。（提供证书复印件、比选申请人为其缴纳的近六个月的社保证明材料复印件并加盖比选申请人公章。）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5" w:hRule="atLeast"/>
          <w:jc w:val="center"/>
        </w:trPr>
        <w:tc>
          <w:tcPr>
            <w:tcW w:w="820" w:type="dxa"/>
            <w:vAlign w:val="center"/>
          </w:tcPr>
          <w:p>
            <w:pPr>
              <w:spacing w:line="400" w:lineRule="exact"/>
              <w:jc w:val="center"/>
              <w:rPr>
                <w:rFonts w:ascii="宋体" w:hAnsi="宋体" w:cs="宋体"/>
                <w:kern w:val="0"/>
              </w:rPr>
            </w:pPr>
            <w:r>
              <w:rPr>
                <w:rFonts w:hint="eastAsia" w:ascii="宋体" w:hAnsi="宋体" w:cs="宋体"/>
              </w:rPr>
              <w:t>3</w:t>
            </w:r>
          </w:p>
        </w:tc>
        <w:tc>
          <w:tcPr>
            <w:tcW w:w="1415" w:type="dxa"/>
            <w:textDirection w:val="tbRlV"/>
            <w:vAlign w:val="center"/>
          </w:tcPr>
          <w:p>
            <w:pPr>
              <w:spacing w:line="400" w:lineRule="exact"/>
              <w:ind w:left="113" w:right="113"/>
              <w:jc w:val="center"/>
              <w:rPr>
                <w:rFonts w:ascii="宋体" w:hAnsi="宋体" w:cs="宋体"/>
                <w:kern w:val="0"/>
              </w:rPr>
            </w:pPr>
            <w:r>
              <w:rPr>
                <w:rFonts w:hint="eastAsia" w:ascii="宋体" w:hAnsi="宋体" w:cs="宋体"/>
              </w:rPr>
              <w:t>评审程序</w:t>
            </w:r>
          </w:p>
        </w:tc>
        <w:tc>
          <w:tcPr>
            <w:tcW w:w="7229" w:type="dxa"/>
            <w:gridSpan w:val="3"/>
          </w:tcPr>
          <w:p>
            <w:pPr>
              <w:spacing w:line="400" w:lineRule="exact"/>
              <w:ind w:firstLine="420" w:firstLineChars="200"/>
              <w:rPr>
                <w:rFonts w:ascii="宋体" w:hAnsi="宋体" w:cs="宋体"/>
                <w:kern w:val="0"/>
              </w:rPr>
            </w:pPr>
            <w:r>
              <w:rPr>
                <w:rFonts w:hint="eastAsia" w:ascii="宋体" w:hAnsi="宋体" w:cs="宋体"/>
                <w:kern w:val="0"/>
              </w:rPr>
              <w:t>1.评审小组依据本章第2.1款规定的标准对比选申请文件进行初步评审。有一项不符合评审标准的，作否决处理。</w:t>
            </w:r>
          </w:p>
          <w:p>
            <w:pPr>
              <w:spacing w:line="400" w:lineRule="exact"/>
              <w:ind w:firstLine="420" w:firstLineChars="200"/>
              <w:rPr>
                <w:rFonts w:ascii="宋体" w:hAnsi="宋体" w:cs="宋体"/>
              </w:rPr>
            </w:pPr>
            <w:r>
              <w:rPr>
                <w:rFonts w:hint="eastAsia" w:ascii="宋体" w:hAnsi="宋体" w:cs="宋体"/>
              </w:rPr>
              <w:t>2.初步评审合格的比选申请文件进入商务部分、技术部分、比选申请报价的评分。</w:t>
            </w:r>
          </w:p>
          <w:p>
            <w:pPr>
              <w:spacing w:line="400" w:lineRule="exact"/>
              <w:ind w:firstLine="420" w:firstLineChars="200"/>
              <w:rPr>
                <w:rFonts w:ascii="宋体" w:hAnsi="宋体" w:cs="宋体"/>
              </w:rPr>
            </w:pPr>
            <w:r>
              <w:rPr>
                <w:rFonts w:hint="eastAsia" w:ascii="宋体" w:hAnsi="宋体" w:cs="宋体"/>
              </w:rPr>
              <w:t>3.根据综合得分由高至低进行排序，推荐1-3家合格的中选候选人。并依次为第一、二、三中选候选人。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jc w:val="center"/>
        </w:trPr>
        <w:tc>
          <w:tcPr>
            <w:tcW w:w="820" w:type="dxa"/>
            <w:vAlign w:val="center"/>
          </w:tcPr>
          <w:p>
            <w:pPr>
              <w:adjustRightInd w:val="0"/>
              <w:snapToGrid w:val="0"/>
              <w:spacing w:line="300" w:lineRule="exact"/>
              <w:jc w:val="center"/>
              <w:rPr>
                <w:rFonts w:ascii="宋体" w:hAnsi="宋体" w:cs="宋体"/>
              </w:rPr>
            </w:pPr>
            <w:r>
              <w:rPr>
                <w:rFonts w:hint="eastAsia" w:ascii="宋体" w:hAnsi="宋体" w:cs="宋体"/>
              </w:rPr>
              <w:t>3.2.1（1）</w:t>
            </w:r>
          </w:p>
        </w:tc>
        <w:tc>
          <w:tcPr>
            <w:tcW w:w="1415" w:type="dxa"/>
            <w:vAlign w:val="center"/>
          </w:tcPr>
          <w:p>
            <w:pPr>
              <w:adjustRightInd w:val="0"/>
              <w:snapToGrid w:val="0"/>
              <w:spacing w:line="300" w:lineRule="exact"/>
              <w:jc w:val="center"/>
              <w:rPr>
                <w:rFonts w:ascii="宋体" w:hAnsi="宋体" w:cs="宋体"/>
              </w:rPr>
            </w:pPr>
            <w:r>
              <w:rPr>
                <w:rFonts w:hint="eastAsia" w:ascii="宋体" w:hAnsi="宋体" w:cs="宋体"/>
              </w:rPr>
              <w:t>比选申请报价得分（A）</w:t>
            </w:r>
          </w:p>
        </w:tc>
        <w:tc>
          <w:tcPr>
            <w:tcW w:w="7229" w:type="dxa"/>
            <w:gridSpan w:val="3"/>
            <w:vAlign w:val="center"/>
          </w:tcPr>
          <w:p>
            <w:pPr>
              <w:adjustRightInd w:val="0"/>
              <w:snapToGrid w:val="0"/>
              <w:spacing w:line="300" w:lineRule="exact"/>
              <w:ind w:firstLine="420" w:firstLineChars="200"/>
              <w:jc w:val="center"/>
              <w:rPr>
                <w:rFonts w:ascii="宋体" w:hAnsi="宋体" w:cs="宋体"/>
              </w:rPr>
            </w:pPr>
            <w:r>
              <w:rPr>
                <w:rFonts w:hint="eastAsia" w:ascii="宋体" w:hAnsi="宋体" w:cs="宋体"/>
              </w:rPr>
              <w:t>按2.2.4（1）项各评审因素设定的分值评分。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jc w:val="center"/>
        </w:trPr>
        <w:tc>
          <w:tcPr>
            <w:tcW w:w="820" w:type="dxa"/>
            <w:vAlign w:val="center"/>
          </w:tcPr>
          <w:p>
            <w:pPr>
              <w:adjustRightInd w:val="0"/>
              <w:snapToGrid w:val="0"/>
              <w:spacing w:line="300" w:lineRule="exact"/>
              <w:jc w:val="center"/>
              <w:rPr>
                <w:rFonts w:ascii="宋体" w:hAnsi="宋体" w:cs="宋体"/>
              </w:rPr>
            </w:pPr>
            <w:r>
              <w:rPr>
                <w:rFonts w:hint="eastAsia" w:ascii="宋体" w:hAnsi="宋体" w:cs="宋体"/>
              </w:rPr>
              <w:t>3.2.1（2）</w:t>
            </w:r>
          </w:p>
        </w:tc>
        <w:tc>
          <w:tcPr>
            <w:tcW w:w="1415" w:type="dxa"/>
            <w:vAlign w:val="center"/>
          </w:tcPr>
          <w:p>
            <w:pPr>
              <w:adjustRightInd w:val="0"/>
              <w:snapToGrid w:val="0"/>
              <w:spacing w:line="300" w:lineRule="exact"/>
              <w:jc w:val="center"/>
              <w:rPr>
                <w:rFonts w:ascii="宋体" w:hAnsi="宋体" w:cs="宋体"/>
              </w:rPr>
            </w:pPr>
            <w:r>
              <w:rPr>
                <w:rFonts w:hint="eastAsia" w:ascii="宋体" w:hAnsi="宋体" w:cs="宋体"/>
                <w:kern w:val="0"/>
              </w:rPr>
              <w:t>商务部分得分（B）</w:t>
            </w:r>
          </w:p>
        </w:tc>
        <w:tc>
          <w:tcPr>
            <w:tcW w:w="7229" w:type="dxa"/>
            <w:gridSpan w:val="3"/>
            <w:vAlign w:val="center"/>
          </w:tcPr>
          <w:p>
            <w:pPr>
              <w:adjustRightInd w:val="0"/>
              <w:snapToGrid w:val="0"/>
              <w:spacing w:line="300" w:lineRule="exact"/>
              <w:ind w:firstLine="420" w:firstLineChars="200"/>
              <w:jc w:val="center"/>
              <w:rPr>
                <w:rFonts w:ascii="宋体" w:hAnsi="宋体" w:cs="宋体"/>
              </w:rPr>
            </w:pPr>
            <w:r>
              <w:rPr>
                <w:rFonts w:hint="eastAsia" w:ascii="宋体" w:hAnsi="宋体" w:cs="宋体"/>
              </w:rPr>
              <w:t>按2.2.4（2）项各评审因素设定的分值评分。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jc w:val="center"/>
        </w:trPr>
        <w:tc>
          <w:tcPr>
            <w:tcW w:w="820" w:type="dxa"/>
            <w:vAlign w:val="center"/>
          </w:tcPr>
          <w:p>
            <w:pPr>
              <w:adjustRightInd w:val="0"/>
              <w:snapToGrid w:val="0"/>
              <w:spacing w:line="300" w:lineRule="exact"/>
              <w:jc w:val="center"/>
              <w:rPr>
                <w:rFonts w:ascii="宋体" w:hAnsi="宋体" w:cs="宋体"/>
              </w:rPr>
            </w:pPr>
            <w:r>
              <w:rPr>
                <w:rFonts w:hint="eastAsia" w:ascii="宋体" w:hAnsi="宋体" w:cs="宋体"/>
              </w:rPr>
              <w:t>3.2.1（3）</w:t>
            </w:r>
          </w:p>
        </w:tc>
        <w:tc>
          <w:tcPr>
            <w:tcW w:w="1415" w:type="dxa"/>
            <w:vAlign w:val="center"/>
          </w:tcPr>
          <w:p>
            <w:pPr>
              <w:adjustRightInd w:val="0"/>
              <w:snapToGrid w:val="0"/>
              <w:spacing w:line="300" w:lineRule="exact"/>
              <w:jc w:val="center"/>
              <w:rPr>
                <w:rFonts w:ascii="宋体" w:hAnsi="宋体" w:cs="宋体"/>
              </w:rPr>
            </w:pPr>
            <w:r>
              <w:rPr>
                <w:rFonts w:hint="eastAsia" w:ascii="宋体" w:hAnsi="宋体" w:cs="宋体"/>
                <w:kern w:val="0"/>
              </w:rPr>
              <w:t>技术部分得分（C）</w:t>
            </w:r>
          </w:p>
        </w:tc>
        <w:tc>
          <w:tcPr>
            <w:tcW w:w="7229" w:type="dxa"/>
            <w:gridSpan w:val="3"/>
            <w:vAlign w:val="center"/>
          </w:tcPr>
          <w:p>
            <w:pPr>
              <w:adjustRightInd w:val="0"/>
              <w:snapToGrid w:val="0"/>
              <w:spacing w:line="300" w:lineRule="exact"/>
              <w:ind w:firstLine="420" w:firstLineChars="200"/>
              <w:jc w:val="center"/>
              <w:rPr>
                <w:rFonts w:ascii="宋体" w:hAnsi="宋体" w:cs="宋体"/>
              </w:rPr>
            </w:pPr>
            <w:r>
              <w:rPr>
                <w:rFonts w:hint="eastAsia" w:ascii="宋体" w:hAnsi="宋体" w:cs="宋体"/>
              </w:rPr>
              <w:t>按2.2.4（3）项各评审因素设定的分值评分。</w:t>
            </w:r>
            <w:r>
              <w:rPr>
                <w:rFonts w:hint="eastAsia" w:ascii="仿宋_GB2312" w:hAnsi="仿宋_GB2312" w:cs="仿宋_GB2312"/>
              </w:rPr>
              <w:t>技术部分得分为</w:t>
            </w:r>
            <w:r>
              <w:rPr>
                <w:rFonts w:hint="eastAsia" w:ascii="仿宋_GB2312" w:hAnsi="仿宋_GB2312" w:cs="仿宋_GB2312"/>
                <w:kern w:val="0"/>
              </w:rPr>
              <w:t>评审小组成员评分的算术平均值。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2235" w:type="dxa"/>
            <w:gridSpan w:val="2"/>
            <w:vAlign w:val="center"/>
          </w:tcPr>
          <w:p>
            <w:pPr>
              <w:spacing w:line="400" w:lineRule="exact"/>
              <w:ind w:firstLine="420" w:firstLineChars="200"/>
              <w:rPr>
                <w:rFonts w:ascii="宋体" w:hAnsi="宋体" w:cs="宋体"/>
              </w:rPr>
            </w:pPr>
            <w:r>
              <w:rPr>
                <w:rFonts w:hint="eastAsia" w:ascii="宋体" w:hAnsi="宋体" w:cs="宋体"/>
              </w:rPr>
              <w:t>3.2.3</w:t>
            </w:r>
          </w:p>
        </w:tc>
        <w:tc>
          <w:tcPr>
            <w:tcW w:w="1578" w:type="dxa"/>
            <w:vAlign w:val="center"/>
          </w:tcPr>
          <w:p>
            <w:pPr>
              <w:spacing w:line="400" w:lineRule="exact"/>
              <w:rPr>
                <w:rFonts w:ascii="宋体" w:hAnsi="宋体" w:cs="宋体"/>
              </w:rPr>
            </w:pPr>
            <w:r>
              <w:rPr>
                <w:rFonts w:hint="eastAsia" w:ascii="宋体" w:hAnsi="宋体" w:cs="宋体"/>
              </w:rPr>
              <w:t>比选申请人得分</w:t>
            </w:r>
          </w:p>
        </w:tc>
        <w:tc>
          <w:tcPr>
            <w:tcW w:w="5651" w:type="dxa"/>
            <w:gridSpan w:val="2"/>
            <w:vAlign w:val="center"/>
          </w:tcPr>
          <w:p>
            <w:pPr>
              <w:spacing w:line="400" w:lineRule="exact"/>
              <w:ind w:firstLine="420" w:firstLineChars="200"/>
              <w:jc w:val="center"/>
              <w:rPr>
                <w:rFonts w:ascii="宋体" w:hAnsi="宋体" w:cs="宋体"/>
              </w:rPr>
            </w:pPr>
            <w:r>
              <w:rPr>
                <w:rFonts w:hint="eastAsia" w:ascii="宋体" w:hAnsi="宋体" w:cs="宋体"/>
              </w:rPr>
              <w:t>比选申请人得分=A+B+C</w:t>
            </w:r>
          </w:p>
        </w:tc>
      </w:tr>
      <w:bookmarkEnd w:id="26"/>
    </w:tbl>
    <w:p>
      <w:pPr>
        <w:spacing w:line="360" w:lineRule="auto"/>
        <w:rPr>
          <w:rFonts w:ascii="宋体"/>
        </w:rPr>
      </w:pPr>
      <w:r>
        <w:rPr>
          <w:rFonts w:hint="eastAsia" w:ascii="宋体" w:hAnsi="宋体" w:cs="宋体"/>
          <w:b/>
          <w:bCs/>
        </w:rPr>
        <w:t>九、否决比选申请文件及重新选择中选单位说明</w:t>
      </w:r>
    </w:p>
    <w:p>
      <w:pPr>
        <w:spacing w:line="360" w:lineRule="auto"/>
        <w:ind w:firstLine="315" w:firstLineChars="150"/>
        <w:rPr>
          <w:rFonts w:ascii="宋体" w:hAnsi="宋体" w:cs="宋体"/>
        </w:rPr>
      </w:pPr>
      <w:r>
        <w:rPr>
          <w:rFonts w:hint="eastAsia" w:ascii="宋体" w:hAnsi="宋体" w:cs="宋体"/>
        </w:rPr>
        <w:t>在合作期间，若中选单位不能按照比选文件或合同约定履约、自动退出的，我公司将解除合同。同时依法组织重新比选。</w:t>
      </w:r>
    </w:p>
    <w:p>
      <w:pPr>
        <w:spacing w:line="360" w:lineRule="auto"/>
        <w:rPr>
          <w:rFonts w:ascii="宋体" w:hAnsi="宋体" w:cs="宋体"/>
        </w:rPr>
      </w:pPr>
      <w:r>
        <w:rPr>
          <w:rFonts w:hint="eastAsia" w:ascii="宋体" w:hAnsi="宋体" w:cs="宋体"/>
          <w:b/>
          <w:bCs/>
        </w:rPr>
        <w:t>十、合同的签订</w:t>
      </w:r>
    </w:p>
    <w:p>
      <w:pPr>
        <w:spacing w:line="360" w:lineRule="auto"/>
        <w:ind w:firstLine="420" w:firstLineChars="200"/>
        <w:rPr>
          <w:rFonts w:ascii="宋体"/>
        </w:rPr>
      </w:pPr>
      <w:r>
        <w:rPr>
          <w:rFonts w:hint="eastAsia" w:ascii="宋体" w:hAnsi="宋体" w:cs="宋体"/>
        </w:rPr>
        <w:t>中选人应当自中选通知书签章起</w:t>
      </w:r>
      <w:r>
        <w:rPr>
          <w:rFonts w:ascii="宋体" w:hAnsi="宋体" w:cs="宋体"/>
        </w:rPr>
        <w:t>15</w:t>
      </w:r>
      <w:r>
        <w:rPr>
          <w:rFonts w:hint="eastAsia" w:ascii="宋体" w:hAnsi="宋体" w:cs="宋体"/>
        </w:rPr>
        <w:t>天内按比选文件合同模板和中选人的比选申请文件内容与比选人签订书面合同。中选人无正当理由拒签合同的或因中选人原因未在规定时间内签定合同的，比选人取消其中选资格，给比选人造成损失的，中选人还应当予以赔偿。如中选人未签订合同，比选人将依法组织重新比选。</w:t>
      </w:r>
    </w:p>
    <w:p>
      <w:pPr>
        <w:spacing w:line="360" w:lineRule="auto"/>
        <w:rPr>
          <w:rFonts w:ascii="宋体"/>
        </w:rPr>
      </w:pPr>
      <w:r>
        <w:rPr>
          <w:rFonts w:hint="eastAsia" w:ascii="宋体" w:hAnsi="宋体" w:cs="宋体"/>
          <w:b/>
          <w:bCs/>
        </w:rPr>
        <w:t>十一、重新比选和不再比选</w:t>
      </w:r>
    </w:p>
    <w:p>
      <w:pPr>
        <w:spacing w:line="360" w:lineRule="auto"/>
        <w:ind w:firstLine="315" w:firstLineChars="150"/>
        <w:rPr>
          <w:rFonts w:ascii="宋体"/>
        </w:rPr>
      </w:pPr>
      <w:bookmarkStart w:id="27" w:name="_Toc200513170"/>
      <w:r>
        <w:rPr>
          <w:rFonts w:ascii="宋体" w:hAnsi="宋体" w:cs="宋体"/>
        </w:rPr>
        <w:t>1</w:t>
      </w:r>
      <w:r>
        <w:rPr>
          <w:rFonts w:hint="eastAsia" w:ascii="宋体" w:hAnsi="宋体" w:cs="宋体"/>
        </w:rPr>
        <w:t>、重新</w:t>
      </w:r>
      <w:bookmarkEnd w:id="27"/>
      <w:r>
        <w:rPr>
          <w:rFonts w:hint="eastAsia" w:ascii="宋体" w:hAnsi="宋体" w:cs="宋体"/>
        </w:rPr>
        <w:t>比选</w:t>
      </w:r>
    </w:p>
    <w:p>
      <w:pPr>
        <w:spacing w:line="360" w:lineRule="auto"/>
        <w:ind w:firstLine="315" w:firstLineChars="150"/>
        <w:rPr>
          <w:rFonts w:ascii="宋体"/>
        </w:rPr>
      </w:pPr>
      <w:r>
        <w:rPr>
          <w:rFonts w:hint="eastAsia" w:ascii="宋体" w:hAnsi="宋体" w:cs="宋体"/>
        </w:rPr>
        <w:t>有下列情形之一的，比选人将重新进行竞争性比选：</w:t>
      </w:r>
    </w:p>
    <w:p>
      <w:pPr>
        <w:spacing w:line="360" w:lineRule="auto"/>
        <w:ind w:firstLine="210" w:firstLineChars="100"/>
        <w:rPr>
          <w:rFonts w:ascii="宋体"/>
        </w:rPr>
      </w:pPr>
      <w:r>
        <w:rPr>
          <w:rFonts w:hint="eastAsia" w:ascii="宋体" w:hAnsi="宋体" w:cs="宋体"/>
        </w:rPr>
        <w:t>（</w:t>
      </w:r>
      <w:r>
        <w:rPr>
          <w:rFonts w:ascii="宋体" w:hAnsi="宋体" w:cs="宋体"/>
        </w:rPr>
        <w:t>1</w:t>
      </w:r>
      <w:r>
        <w:rPr>
          <w:rFonts w:hint="eastAsia" w:ascii="宋体" w:hAnsi="宋体" w:cs="宋体"/>
        </w:rPr>
        <w:t>）</w:t>
      </w:r>
      <w:bookmarkStart w:id="28" w:name="_Toc200513171"/>
      <w:r>
        <w:rPr>
          <w:rFonts w:hint="eastAsia" w:ascii="宋体" w:hAnsi="宋体" w:cs="宋体"/>
        </w:rPr>
        <w:t>比选截止时间止，比选申请人少于</w:t>
      </w:r>
      <w:r>
        <w:rPr>
          <w:rFonts w:ascii="宋体" w:hAnsi="宋体" w:cs="宋体"/>
        </w:rPr>
        <w:t>3</w:t>
      </w:r>
      <w:r>
        <w:rPr>
          <w:rFonts w:hint="eastAsia" w:ascii="宋体" w:hAnsi="宋体" w:cs="宋体"/>
        </w:rPr>
        <w:t>个的；</w:t>
      </w:r>
    </w:p>
    <w:p>
      <w:pPr>
        <w:spacing w:line="360" w:lineRule="auto"/>
        <w:ind w:firstLine="210" w:firstLineChars="100"/>
        <w:rPr>
          <w:rFonts w:ascii="宋体"/>
        </w:rPr>
      </w:pPr>
      <w:r>
        <w:rPr>
          <w:rFonts w:hint="eastAsia" w:ascii="宋体" w:hAnsi="宋体" w:cs="宋体"/>
        </w:rPr>
        <w:t>（</w:t>
      </w:r>
      <w:r>
        <w:rPr>
          <w:rFonts w:ascii="宋体" w:hAnsi="宋体" w:cs="宋体"/>
        </w:rPr>
        <w:t>2</w:t>
      </w:r>
      <w:r>
        <w:rPr>
          <w:rFonts w:hint="eastAsia" w:ascii="宋体" w:hAnsi="宋体" w:cs="宋体"/>
        </w:rPr>
        <w:t>）经评审委员会评审后否决所有比选申请的。</w:t>
      </w:r>
    </w:p>
    <w:p>
      <w:pPr>
        <w:spacing w:line="360" w:lineRule="auto"/>
        <w:ind w:firstLine="210" w:firstLineChars="100"/>
        <w:rPr>
          <w:rFonts w:ascii="宋体"/>
        </w:rPr>
      </w:pPr>
      <w:r>
        <w:rPr>
          <w:rFonts w:hint="eastAsia" w:ascii="宋体" w:hAnsi="宋体" w:cs="宋体"/>
        </w:rPr>
        <w:t>（</w:t>
      </w:r>
      <w:r>
        <w:rPr>
          <w:rFonts w:ascii="宋体" w:hAnsi="宋体" w:cs="宋体"/>
        </w:rPr>
        <w:t>3</w:t>
      </w:r>
      <w:r>
        <w:rPr>
          <w:rFonts w:hint="eastAsia" w:ascii="宋体" w:hAnsi="宋体" w:cs="宋体"/>
        </w:rPr>
        <w:t>）经评审后，如合格的比选申请人少于三个的，且明显缺乏竞争的，评审委员会可以否决全部比选申请，比选人将重新组织比选；</w:t>
      </w:r>
    </w:p>
    <w:p>
      <w:pPr>
        <w:spacing w:line="360" w:lineRule="auto"/>
        <w:ind w:firstLine="210" w:firstLineChars="100"/>
        <w:rPr>
          <w:rFonts w:ascii="宋体"/>
        </w:rPr>
      </w:pPr>
      <w:r>
        <w:rPr>
          <w:rFonts w:hint="eastAsia" w:ascii="宋体" w:hAnsi="宋体" w:cs="宋体"/>
        </w:rPr>
        <w:t>（</w:t>
      </w:r>
      <w:r>
        <w:rPr>
          <w:rFonts w:ascii="宋体" w:hAnsi="宋体" w:cs="宋体"/>
        </w:rPr>
        <w:t>4</w:t>
      </w:r>
      <w:r>
        <w:rPr>
          <w:rFonts w:hint="eastAsia" w:ascii="宋体" w:hAnsi="宋体" w:cs="宋体"/>
        </w:rPr>
        <w:t>）法律法规规定的其他情形。</w:t>
      </w:r>
      <w:bookmarkEnd w:id="28"/>
    </w:p>
    <w:p>
      <w:pPr>
        <w:spacing w:line="360" w:lineRule="auto"/>
        <w:ind w:firstLine="210" w:firstLineChars="100"/>
        <w:rPr>
          <w:rFonts w:ascii="宋体"/>
        </w:rPr>
      </w:pPr>
      <w:r>
        <w:rPr>
          <w:rFonts w:ascii="宋体" w:hAnsi="宋体" w:cs="宋体"/>
        </w:rPr>
        <w:t>2</w:t>
      </w:r>
      <w:r>
        <w:rPr>
          <w:rFonts w:hint="eastAsia" w:ascii="宋体" w:hAnsi="宋体" w:cs="宋体"/>
        </w:rPr>
        <w:t>、重新比选和不再比选</w:t>
      </w:r>
    </w:p>
    <w:p>
      <w:pPr>
        <w:spacing w:line="360" w:lineRule="auto"/>
        <w:ind w:firstLine="420" w:firstLineChars="200"/>
        <w:rPr>
          <w:rFonts w:ascii="宋体" w:hAnsi="宋体" w:cs="宋体"/>
        </w:rPr>
      </w:pPr>
      <w:r>
        <w:rPr>
          <w:rFonts w:hint="eastAsia" w:ascii="宋体" w:hAnsi="宋体" w:cs="宋体"/>
        </w:rPr>
        <w:t>重新比选后比选申请人仍少于</w:t>
      </w:r>
      <w:r>
        <w:rPr>
          <w:rFonts w:ascii="宋体" w:hAnsi="宋体" w:cs="宋体"/>
        </w:rPr>
        <w:t>3</w:t>
      </w:r>
      <w:r>
        <w:rPr>
          <w:rFonts w:hint="eastAsia" w:ascii="宋体" w:hAnsi="宋体" w:cs="宋体"/>
        </w:rPr>
        <w:t>个，按法定程序开标和评审，确定中选人。经评审无合格比选申请人，经比选人审批或者核准后不再进行比选。</w:t>
      </w:r>
    </w:p>
    <w:p>
      <w:pPr>
        <w:spacing w:line="360" w:lineRule="auto"/>
        <w:rPr>
          <w:rFonts w:ascii="宋体" w:hAnsi="宋体" w:cs="宋体"/>
          <w:b/>
          <w:bCs/>
        </w:rPr>
      </w:pPr>
      <w:r>
        <w:rPr>
          <w:rFonts w:hint="eastAsia" w:ascii="宋体" w:hAnsi="宋体" w:cs="宋体"/>
          <w:b/>
          <w:bCs/>
        </w:rPr>
        <w:t>十二、代理服务费</w:t>
      </w:r>
    </w:p>
    <w:p>
      <w:pPr>
        <w:spacing w:line="360" w:lineRule="auto"/>
        <w:ind w:firstLine="420" w:firstLineChars="200"/>
        <w:rPr>
          <w:rFonts w:ascii="宋体"/>
        </w:rPr>
      </w:pPr>
      <w:r>
        <w:rPr>
          <w:rFonts w:hint="eastAsia" w:ascii="宋体" w:hAnsi="宋体" w:cs="宋体"/>
        </w:rPr>
        <w:t>本项目代理服务费为定额5000元，由中选人在领取中选通知书前一次性向代理机构缴纳。</w:t>
      </w:r>
    </w:p>
    <w:p>
      <w:pPr>
        <w:snapToGrid w:val="0"/>
        <w:spacing w:line="360" w:lineRule="auto"/>
        <w:ind w:firstLine="630" w:firstLineChars="224"/>
        <w:outlineLvl w:val="0"/>
        <w:rPr>
          <w:rFonts w:ascii="宋体" w:hAnsi="宋体" w:cs="宋体"/>
          <w:b/>
          <w:bCs/>
          <w:sz w:val="28"/>
          <w:szCs w:val="28"/>
        </w:rPr>
      </w:pPr>
    </w:p>
    <w:p>
      <w:pPr>
        <w:rPr>
          <w:rFonts w:ascii="宋体" w:hAnsi="宋体" w:cs="宋体"/>
          <w:b/>
          <w:bCs/>
          <w:sz w:val="28"/>
          <w:szCs w:val="28"/>
        </w:rPr>
      </w:pPr>
      <w:r>
        <w:rPr>
          <w:rFonts w:ascii="宋体" w:hAnsi="宋体" w:cs="宋体"/>
          <w:b/>
          <w:bCs/>
          <w:sz w:val="28"/>
          <w:szCs w:val="28"/>
        </w:rPr>
        <w:br w:type="page"/>
      </w:r>
    </w:p>
    <w:p>
      <w:pPr>
        <w:snapToGrid w:val="0"/>
        <w:spacing w:line="360" w:lineRule="auto"/>
        <w:ind w:firstLine="630" w:firstLineChars="224"/>
        <w:jc w:val="center"/>
        <w:outlineLvl w:val="0"/>
        <w:rPr>
          <w:rFonts w:ascii="宋体"/>
          <w:b/>
          <w:bCs/>
          <w:sz w:val="28"/>
          <w:szCs w:val="28"/>
        </w:rPr>
      </w:pPr>
      <w:bookmarkStart w:id="29" w:name="_Toc120633479"/>
      <w:r>
        <w:rPr>
          <w:rFonts w:hint="eastAsia" w:ascii="宋体" w:hAnsi="宋体" w:cs="宋体"/>
          <w:b/>
          <w:bCs/>
          <w:sz w:val="28"/>
          <w:szCs w:val="28"/>
        </w:rPr>
        <w:t>第三部分 比选申请文件格式</w:t>
      </w:r>
      <w:bookmarkEnd w:id="29"/>
    </w:p>
    <w:p>
      <w:pPr>
        <w:snapToGrid w:val="0"/>
        <w:spacing w:line="360" w:lineRule="auto"/>
        <w:ind w:firstLine="472" w:firstLineChars="224"/>
        <w:jc w:val="center"/>
        <w:rPr>
          <w:rFonts w:ascii="宋体"/>
          <w:b/>
          <w:bCs/>
        </w:rPr>
      </w:pPr>
      <w:r>
        <w:rPr>
          <w:rFonts w:ascii="宋体"/>
          <w:b/>
          <w:bCs/>
        </w:rPr>
        <w:br w:type="page"/>
      </w:r>
    </w:p>
    <w:p>
      <w:pPr>
        <w:spacing w:line="360" w:lineRule="auto"/>
        <w:jc w:val="left"/>
        <w:outlineLvl w:val="1"/>
        <w:rPr>
          <w:rFonts w:ascii="宋体"/>
          <w:sz w:val="28"/>
          <w:szCs w:val="28"/>
        </w:rPr>
      </w:pPr>
      <w:bookmarkStart w:id="30" w:name="_Toc3512"/>
      <w:bookmarkStart w:id="31" w:name="_Toc10647"/>
      <w:bookmarkStart w:id="32" w:name="_Toc120633480"/>
      <w:r>
        <w:rPr>
          <w:rFonts w:ascii="宋体" w:hAnsi="宋体" w:cs="宋体"/>
          <w:b/>
          <w:bCs/>
          <w:sz w:val="28"/>
          <w:szCs w:val="28"/>
        </w:rPr>
        <w:t>(</w:t>
      </w:r>
      <w:r>
        <w:rPr>
          <w:rFonts w:hint="eastAsia" w:ascii="宋体" w:hAnsi="宋体" w:cs="宋体"/>
          <w:b/>
          <w:bCs/>
          <w:sz w:val="28"/>
          <w:szCs w:val="28"/>
        </w:rPr>
        <w:t>正</w:t>
      </w:r>
      <w:r>
        <w:rPr>
          <w:rFonts w:ascii="宋体" w:hAnsi="宋体" w:cs="宋体"/>
          <w:b/>
          <w:bCs/>
          <w:sz w:val="28"/>
          <w:szCs w:val="28"/>
        </w:rPr>
        <w:t>/</w:t>
      </w:r>
      <w:r>
        <w:rPr>
          <w:rFonts w:hint="eastAsia" w:ascii="宋体" w:hAnsi="宋体" w:cs="宋体"/>
          <w:b/>
          <w:bCs/>
          <w:sz w:val="28"/>
          <w:szCs w:val="28"/>
        </w:rPr>
        <w:t>副本</w:t>
      </w:r>
      <w:r>
        <w:rPr>
          <w:rFonts w:ascii="宋体" w:hAnsi="宋体" w:cs="宋体"/>
          <w:b/>
          <w:bCs/>
          <w:sz w:val="28"/>
          <w:szCs w:val="28"/>
        </w:rPr>
        <w:t>)</w:t>
      </w:r>
      <w:bookmarkEnd w:id="30"/>
      <w:bookmarkEnd w:id="31"/>
      <w:bookmarkEnd w:id="32"/>
    </w:p>
    <w:p>
      <w:pPr>
        <w:spacing w:line="360" w:lineRule="auto"/>
        <w:jc w:val="left"/>
        <w:rPr>
          <w:rFonts w:ascii="宋体"/>
          <w:sz w:val="32"/>
          <w:szCs w:val="32"/>
        </w:rPr>
      </w:pPr>
    </w:p>
    <w:p>
      <w:pPr>
        <w:spacing w:line="360" w:lineRule="auto"/>
        <w:jc w:val="left"/>
        <w:rPr>
          <w:rFonts w:ascii="宋体"/>
          <w:sz w:val="32"/>
          <w:szCs w:val="32"/>
        </w:rPr>
      </w:pPr>
    </w:p>
    <w:p>
      <w:pPr>
        <w:spacing w:line="360" w:lineRule="auto"/>
        <w:jc w:val="left"/>
        <w:rPr>
          <w:rFonts w:ascii="宋体"/>
          <w:sz w:val="28"/>
          <w:szCs w:val="28"/>
        </w:rPr>
      </w:pPr>
    </w:p>
    <w:p>
      <w:pPr>
        <w:spacing w:line="360" w:lineRule="auto"/>
        <w:jc w:val="center"/>
        <w:outlineLvl w:val="1"/>
        <w:rPr>
          <w:rFonts w:ascii="宋体"/>
          <w:sz w:val="28"/>
          <w:szCs w:val="28"/>
        </w:rPr>
      </w:pPr>
      <w:bookmarkStart w:id="33" w:name="_Toc14951"/>
      <w:bookmarkStart w:id="34" w:name="_Toc120633481"/>
      <w:bookmarkStart w:id="35" w:name="_Toc584"/>
      <w:r>
        <w:rPr>
          <w:rFonts w:hint="eastAsia" w:ascii="宋体" w:hAnsi="宋体" w:cs="宋体"/>
          <w:b/>
          <w:bCs/>
          <w:sz w:val="72"/>
          <w:szCs w:val="72"/>
        </w:rPr>
        <w:t>比选申请文件</w:t>
      </w:r>
      <w:bookmarkEnd w:id="33"/>
      <w:bookmarkEnd w:id="34"/>
      <w:bookmarkEnd w:id="35"/>
    </w:p>
    <w:p>
      <w:pPr>
        <w:spacing w:line="360" w:lineRule="auto"/>
        <w:jc w:val="left"/>
        <w:rPr>
          <w:rFonts w:ascii="宋体"/>
          <w:sz w:val="28"/>
          <w:szCs w:val="28"/>
        </w:rPr>
      </w:pPr>
    </w:p>
    <w:p>
      <w:pPr>
        <w:spacing w:line="360" w:lineRule="auto"/>
        <w:jc w:val="left"/>
        <w:rPr>
          <w:rFonts w:ascii="宋体"/>
          <w:sz w:val="28"/>
          <w:szCs w:val="28"/>
        </w:rPr>
      </w:pPr>
    </w:p>
    <w:p>
      <w:pPr>
        <w:spacing w:line="360" w:lineRule="auto"/>
        <w:jc w:val="left"/>
        <w:rPr>
          <w:rFonts w:ascii="宋体"/>
          <w:sz w:val="28"/>
          <w:szCs w:val="28"/>
        </w:rPr>
      </w:pPr>
    </w:p>
    <w:p>
      <w:pPr>
        <w:spacing w:line="360" w:lineRule="auto"/>
        <w:jc w:val="left"/>
        <w:rPr>
          <w:rFonts w:ascii="宋体"/>
          <w:sz w:val="28"/>
          <w:szCs w:val="28"/>
        </w:rPr>
      </w:pPr>
    </w:p>
    <w:p>
      <w:pPr>
        <w:spacing w:line="360" w:lineRule="auto"/>
        <w:jc w:val="left"/>
        <w:rPr>
          <w:rFonts w:ascii="宋体"/>
          <w:sz w:val="28"/>
          <w:szCs w:val="28"/>
        </w:rPr>
      </w:pPr>
    </w:p>
    <w:p>
      <w:pPr>
        <w:spacing w:line="360" w:lineRule="auto"/>
        <w:jc w:val="left"/>
        <w:rPr>
          <w:rFonts w:ascii="宋体"/>
          <w:sz w:val="28"/>
          <w:szCs w:val="28"/>
        </w:rPr>
      </w:pPr>
    </w:p>
    <w:p>
      <w:pPr>
        <w:spacing w:line="360" w:lineRule="auto"/>
        <w:ind w:firstLine="1120" w:firstLineChars="400"/>
        <w:outlineLvl w:val="1"/>
        <w:rPr>
          <w:rFonts w:ascii="宋体"/>
          <w:sz w:val="28"/>
          <w:szCs w:val="28"/>
          <w:u w:val="single"/>
        </w:rPr>
      </w:pPr>
      <w:bookmarkStart w:id="36" w:name="_Toc15178"/>
      <w:bookmarkStart w:id="37" w:name="_Toc120633482"/>
      <w:bookmarkStart w:id="38" w:name="_Toc19213"/>
      <w:r>
        <w:rPr>
          <w:rFonts w:hint="eastAsia" w:ascii="宋体" w:hAnsi="宋体" w:cs="宋体"/>
          <w:sz w:val="28"/>
          <w:szCs w:val="28"/>
        </w:rPr>
        <w:t>项目名称：</w:t>
      </w:r>
      <w:bookmarkEnd w:id="36"/>
      <w:bookmarkEnd w:id="37"/>
      <w:bookmarkEnd w:id="38"/>
    </w:p>
    <w:p>
      <w:pPr>
        <w:spacing w:line="360" w:lineRule="auto"/>
        <w:ind w:firstLine="1120" w:firstLineChars="400"/>
        <w:rPr>
          <w:rFonts w:ascii="宋体"/>
          <w:sz w:val="28"/>
          <w:szCs w:val="28"/>
          <w:u w:val="single"/>
        </w:rPr>
      </w:pPr>
    </w:p>
    <w:p>
      <w:pPr>
        <w:spacing w:line="360" w:lineRule="auto"/>
        <w:ind w:firstLine="1120" w:firstLineChars="400"/>
        <w:outlineLvl w:val="1"/>
        <w:rPr>
          <w:rFonts w:ascii="宋体"/>
          <w:sz w:val="28"/>
          <w:szCs w:val="28"/>
          <w:u w:val="single"/>
        </w:rPr>
      </w:pPr>
      <w:bookmarkStart w:id="39" w:name="_Toc17622"/>
      <w:bookmarkStart w:id="40" w:name="_Toc21195"/>
      <w:bookmarkStart w:id="41" w:name="_Toc120633483"/>
      <w:r>
        <w:rPr>
          <w:rFonts w:hint="eastAsia" w:ascii="宋体" w:hAnsi="宋体" w:cs="宋体"/>
          <w:sz w:val="28"/>
          <w:szCs w:val="28"/>
        </w:rPr>
        <w:t>比选申请人</w:t>
      </w:r>
      <w:r>
        <w:rPr>
          <w:rFonts w:ascii="宋体" w:hAnsi="宋体" w:cs="宋体"/>
          <w:sz w:val="28"/>
          <w:szCs w:val="28"/>
        </w:rPr>
        <w:t>:</w:t>
      </w:r>
      <w:r>
        <w:rPr>
          <w:rFonts w:hint="eastAsia" w:ascii="宋体" w:hAnsi="宋体" w:cs="宋体"/>
          <w:sz w:val="28"/>
          <w:szCs w:val="28"/>
          <w:u w:val="single"/>
        </w:rPr>
        <w:t>（盖章）</w:t>
      </w:r>
      <w:bookmarkEnd w:id="39"/>
      <w:bookmarkEnd w:id="40"/>
      <w:bookmarkEnd w:id="41"/>
    </w:p>
    <w:p>
      <w:pPr>
        <w:spacing w:line="360" w:lineRule="auto"/>
        <w:ind w:firstLine="1120" w:firstLineChars="400"/>
        <w:rPr>
          <w:rFonts w:ascii="宋体"/>
          <w:sz w:val="28"/>
          <w:szCs w:val="28"/>
          <w:u w:val="single"/>
        </w:rPr>
      </w:pPr>
    </w:p>
    <w:p>
      <w:pPr>
        <w:spacing w:line="360" w:lineRule="auto"/>
        <w:ind w:firstLine="1120" w:firstLineChars="400"/>
        <w:jc w:val="left"/>
        <w:outlineLvl w:val="1"/>
        <w:rPr>
          <w:rFonts w:ascii="宋体"/>
          <w:sz w:val="28"/>
          <w:szCs w:val="28"/>
          <w:u w:val="single"/>
        </w:rPr>
      </w:pPr>
      <w:bookmarkStart w:id="42" w:name="_Toc21790"/>
      <w:bookmarkStart w:id="43" w:name="_Toc20741"/>
      <w:bookmarkStart w:id="44" w:name="_Toc120633484"/>
      <w:r>
        <w:rPr>
          <w:rFonts w:hint="eastAsia" w:ascii="宋体" w:hAnsi="宋体" w:cs="宋体"/>
          <w:sz w:val="28"/>
          <w:szCs w:val="28"/>
        </w:rPr>
        <w:t>法定代表人或其委托代理人</w:t>
      </w:r>
      <w:r>
        <w:rPr>
          <w:rFonts w:ascii="宋体" w:hAnsi="宋体" w:cs="宋体"/>
          <w:sz w:val="28"/>
          <w:szCs w:val="28"/>
        </w:rPr>
        <w:t>:</w:t>
      </w:r>
      <w:r>
        <w:rPr>
          <w:rFonts w:hint="eastAsia" w:ascii="宋体" w:hAnsi="宋体" w:cs="宋体"/>
          <w:sz w:val="28"/>
          <w:szCs w:val="28"/>
          <w:u w:val="single"/>
        </w:rPr>
        <w:t>　　　　　（签名或盖章）</w:t>
      </w:r>
      <w:bookmarkEnd w:id="42"/>
      <w:bookmarkEnd w:id="43"/>
      <w:bookmarkEnd w:id="44"/>
    </w:p>
    <w:p>
      <w:pPr>
        <w:spacing w:line="360" w:lineRule="auto"/>
        <w:ind w:firstLine="1120" w:firstLineChars="400"/>
        <w:jc w:val="left"/>
        <w:rPr>
          <w:rFonts w:ascii="宋体"/>
          <w:sz w:val="28"/>
          <w:szCs w:val="28"/>
        </w:rPr>
      </w:pPr>
    </w:p>
    <w:p>
      <w:pPr>
        <w:spacing w:line="360" w:lineRule="auto"/>
        <w:ind w:firstLine="1120" w:firstLineChars="400"/>
        <w:outlineLvl w:val="1"/>
        <w:rPr>
          <w:rFonts w:ascii="宋体"/>
          <w:sz w:val="28"/>
          <w:szCs w:val="28"/>
          <w:u w:val="single"/>
        </w:rPr>
      </w:pPr>
      <w:bookmarkStart w:id="45" w:name="_Toc2482"/>
      <w:bookmarkStart w:id="46" w:name="_Toc627"/>
      <w:bookmarkStart w:id="47" w:name="_Toc120633485"/>
      <w:r>
        <w:rPr>
          <w:rFonts w:hint="eastAsia" w:ascii="宋体" w:hAnsi="宋体" w:cs="宋体"/>
          <w:sz w:val="28"/>
          <w:szCs w:val="28"/>
        </w:rPr>
        <w:t>地址：</w:t>
      </w:r>
      <w:bookmarkEnd w:id="45"/>
      <w:bookmarkEnd w:id="46"/>
      <w:bookmarkEnd w:id="47"/>
    </w:p>
    <w:p>
      <w:pPr>
        <w:spacing w:line="360" w:lineRule="auto"/>
        <w:ind w:firstLine="1120" w:firstLineChars="400"/>
        <w:rPr>
          <w:rFonts w:ascii="宋体"/>
          <w:sz w:val="28"/>
          <w:szCs w:val="28"/>
          <w:u w:val="single"/>
        </w:rPr>
      </w:pPr>
    </w:p>
    <w:p>
      <w:pPr>
        <w:snapToGrid w:val="0"/>
        <w:spacing w:line="360" w:lineRule="auto"/>
        <w:ind w:firstLine="1184" w:firstLineChars="423"/>
        <w:outlineLvl w:val="1"/>
        <w:rPr>
          <w:rFonts w:ascii="宋体"/>
          <w:b/>
          <w:bCs/>
        </w:rPr>
      </w:pPr>
      <w:bookmarkStart w:id="48" w:name="_Toc120633486"/>
      <w:bookmarkStart w:id="49" w:name="_Toc237"/>
      <w:bookmarkStart w:id="50" w:name="_Toc6842"/>
      <w:r>
        <w:rPr>
          <w:rFonts w:hint="eastAsia" w:ascii="宋体" w:hAnsi="宋体" w:cs="宋体"/>
          <w:sz w:val="28"/>
          <w:szCs w:val="28"/>
        </w:rPr>
        <w:t>日期：年月日</w:t>
      </w:r>
      <w:bookmarkEnd w:id="48"/>
      <w:r>
        <w:rPr>
          <w:rFonts w:ascii="宋体"/>
          <w:b/>
          <w:bCs/>
        </w:rPr>
        <w:br w:type="page"/>
      </w:r>
      <w:bookmarkEnd w:id="49"/>
      <w:bookmarkEnd w:id="50"/>
    </w:p>
    <w:p>
      <w:pPr>
        <w:spacing w:line="520" w:lineRule="exact"/>
        <w:jc w:val="center"/>
        <w:rPr>
          <w:rFonts w:ascii="宋体" w:hAnsi="宋体"/>
          <w:b/>
          <w:sz w:val="36"/>
          <w:szCs w:val="36"/>
        </w:rPr>
      </w:pPr>
      <w:bookmarkStart w:id="51" w:name="_Toc509218855"/>
      <w:bookmarkStart w:id="52" w:name="_Toc534185832"/>
      <w:bookmarkStart w:id="53" w:name="_Toc14319"/>
      <w:bookmarkStart w:id="54" w:name="_Toc219178931"/>
      <w:r>
        <w:rPr>
          <w:rFonts w:hint="eastAsia" w:ascii="宋体" w:hAnsi="宋体"/>
          <w:b/>
          <w:sz w:val="36"/>
          <w:szCs w:val="36"/>
        </w:rPr>
        <w:t>目录</w:t>
      </w:r>
    </w:p>
    <w:p>
      <w:pPr>
        <w:pStyle w:val="3"/>
      </w:pPr>
      <w:r>
        <w:rPr>
          <w:rFonts w:hint="eastAsia"/>
        </w:rPr>
        <w:t>（格式自拟）</w:t>
      </w:r>
    </w:p>
    <w:p>
      <w:pPr>
        <w:jc w:val="left"/>
        <w:rPr>
          <w:rFonts w:ascii="宋体" w:hAnsi="宋体"/>
          <w:b/>
          <w:sz w:val="36"/>
          <w:szCs w:val="36"/>
        </w:rPr>
      </w:pPr>
      <w:r>
        <w:rPr>
          <w:rFonts w:hint="eastAsia" w:ascii="宋体" w:hAnsi="宋体"/>
          <w:b/>
          <w:sz w:val="36"/>
          <w:szCs w:val="36"/>
        </w:rPr>
        <w:br w:type="page"/>
      </w:r>
    </w:p>
    <w:p>
      <w:pPr>
        <w:spacing w:line="520" w:lineRule="exact"/>
        <w:jc w:val="center"/>
        <w:rPr>
          <w:b/>
          <w:snapToGrid w:val="0"/>
        </w:rPr>
      </w:pPr>
      <w:r>
        <w:rPr>
          <w:rFonts w:hint="eastAsia" w:ascii="宋体" w:hAnsi="宋体"/>
          <w:b/>
          <w:sz w:val="36"/>
          <w:szCs w:val="36"/>
        </w:rPr>
        <w:t>比选申请函</w:t>
      </w:r>
    </w:p>
    <w:p>
      <w:pPr>
        <w:tabs>
          <w:tab w:val="left" w:pos="7140"/>
          <w:tab w:val="left" w:pos="7560"/>
          <w:tab w:val="left" w:pos="8300"/>
        </w:tabs>
        <w:autoSpaceDE w:val="0"/>
        <w:autoSpaceDN w:val="0"/>
        <w:adjustRightInd w:val="0"/>
        <w:snapToGrid w:val="0"/>
        <w:spacing w:line="520" w:lineRule="exact"/>
        <w:ind w:right="210"/>
        <w:rPr>
          <w:rFonts w:ascii="宋体" w:hAnsi="宋体"/>
        </w:rPr>
      </w:pPr>
      <w:r>
        <w:rPr>
          <w:rFonts w:hint="eastAsia" w:ascii="宋体" w:hAnsi="宋体"/>
        </w:rPr>
        <w:t>致：重庆国际投资咨询集团有限公司（比选人名称）</w:t>
      </w:r>
    </w:p>
    <w:p>
      <w:pPr>
        <w:spacing w:line="360" w:lineRule="auto"/>
        <w:ind w:firstLine="420" w:firstLineChars="200"/>
        <w:rPr>
          <w:rFonts w:ascii="宋体" w:hAnsi="宋体"/>
          <w:u w:val="single"/>
        </w:rPr>
      </w:pPr>
      <w:r>
        <w:rPr>
          <w:rFonts w:hint="eastAsia" w:ascii="宋体" w:hAnsi="宋体"/>
        </w:rPr>
        <w:t>1.我们已经仔细地研究了</w:t>
      </w:r>
      <w:r>
        <w:rPr>
          <w:rFonts w:hint="eastAsia" w:ascii="宋体" w:hAnsi="宋体" w:cs="宋体"/>
          <w:u w:val="single"/>
        </w:rPr>
        <w:t>重咨集团网络与信息安全技术服务采购</w:t>
      </w:r>
      <w:r>
        <w:rPr>
          <w:rFonts w:hint="eastAsia" w:ascii="宋体" w:hAnsi="宋体"/>
          <w:u w:val="single"/>
        </w:rPr>
        <w:t>（项目名称）</w:t>
      </w:r>
      <w:r>
        <w:rPr>
          <w:rFonts w:hint="eastAsia" w:ascii="宋体" w:hAnsi="宋体"/>
        </w:rPr>
        <w:t>的全部内容，包括但不限于比选文件、合同条款以及全部答疑补遗和澄清文件。我们已了解全部竞争性比选文件，并完全理解了竞争性比选文件规定的</w:t>
      </w:r>
      <w:r>
        <w:rPr>
          <w:rFonts w:hint="eastAsia" w:ascii="宋体" w:hAnsi="宋体" w:cs="宋体"/>
          <w:u w:val="single"/>
        </w:rPr>
        <w:t>重咨集团网络与信息安全技术服务采购</w:t>
      </w:r>
      <w:r>
        <w:rPr>
          <w:rFonts w:hint="eastAsia" w:ascii="宋体" w:hAnsi="宋体"/>
          <w:u w:val="single"/>
        </w:rPr>
        <w:t>（项目名称）</w:t>
      </w:r>
      <w:r>
        <w:rPr>
          <w:rFonts w:hint="eastAsia" w:ascii="宋体" w:hAnsi="宋体"/>
        </w:rPr>
        <w:t>的合同范围、工作要求，并考虑到了潜在所有风险。据此，我们承诺</w:t>
      </w:r>
      <w:r>
        <w:rPr>
          <w:rFonts w:hint="eastAsia" w:ascii="宋体"/>
        </w:rPr>
        <w:t>所递交的比选申请文件资料内容完整、真实和准确，且完全响应比选人发布的竞争性比选文件、限价及合同条款等附件中的所有内容，不存在弄虚作假情形，</w:t>
      </w:r>
      <w:r>
        <w:rPr>
          <w:rFonts w:hint="eastAsia" w:ascii="宋体" w:hAnsi="宋体" w:cs="宋体"/>
          <w:kern w:val="0"/>
        </w:rPr>
        <w:t>比选申请文件不附有比选人不能接受的条件</w:t>
      </w:r>
      <w:r>
        <w:rPr>
          <w:rFonts w:hint="eastAsia" w:ascii="宋体" w:hAnsi="宋体"/>
        </w:rPr>
        <w:t>。</w:t>
      </w:r>
    </w:p>
    <w:p>
      <w:pPr>
        <w:snapToGrid w:val="0"/>
        <w:spacing w:line="520" w:lineRule="exact"/>
        <w:rPr>
          <w:rFonts w:ascii="宋体" w:hAnsi="宋体"/>
        </w:rPr>
      </w:pPr>
      <w:r>
        <w:rPr>
          <w:rFonts w:hint="eastAsia" w:ascii="宋体" w:hAnsi="宋体"/>
        </w:rPr>
        <w:t xml:space="preserve">    2.据此，我方承诺本项目比选申请报价为：</w:t>
      </w:r>
      <w:r>
        <w:rPr>
          <w:rFonts w:hint="eastAsia" w:ascii="宋体" w:hAnsi="宋体"/>
          <w:u w:val="single"/>
        </w:rPr>
        <w:t xml:space="preserve">       元，（大写：     ）</w:t>
      </w:r>
      <w:r>
        <w:rPr>
          <w:rFonts w:hint="eastAsia" w:ascii="宋体" w:hAnsi="宋体"/>
        </w:rPr>
        <w:t>。（报价保留小数点后两位）。</w:t>
      </w:r>
    </w:p>
    <w:p>
      <w:pPr>
        <w:snapToGrid w:val="0"/>
        <w:spacing w:line="520" w:lineRule="exact"/>
        <w:ind w:firstLine="420" w:firstLineChars="200"/>
        <w:rPr>
          <w:rFonts w:ascii="宋体" w:hAnsi="宋体"/>
        </w:rPr>
      </w:pPr>
      <w:r>
        <w:rPr>
          <w:rFonts w:hint="eastAsia" w:ascii="宋体" w:hAnsi="宋体"/>
        </w:rPr>
        <w:t>3.我们同意在从规定的递交比选申请文件截止之日起到比选有效期满前遵守本比选申请文件。且本比选申请文件一直对我们具有约束力，并可随时被接受中选。</w:t>
      </w:r>
    </w:p>
    <w:p>
      <w:pPr>
        <w:snapToGrid w:val="0"/>
        <w:spacing w:line="520" w:lineRule="exact"/>
        <w:ind w:firstLine="420" w:firstLineChars="200"/>
        <w:rPr>
          <w:rFonts w:ascii="宋体" w:hAnsi="宋体"/>
        </w:rPr>
      </w:pPr>
      <w:r>
        <w:rPr>
          <w:rFonts w:hint="eastAsia" w:ascii="宋体" w:hAnsi="宋体"/>
        </w:rPr>
        <w:t>4.如果我们中选，我们将及时签定本项目合同。</w:t>
      </w:r>
    </w:p>
    <w:p>
      <w:pPr>
        <w:snapToGrid w:val="0"/>
        <w:spacing w:line="520" w:lineRule="exact"/>
        <w:ind w:firstLine="420" w:firstLineChars="200"/>
        <w:rPr>
          <w:rFonts w:ascii="宋体" w:hAnsi="宋体" w:cs="MingLiU"/>
          <w:snapToGrid w:val="0"/>
        </w:rPr>
      </w:pPr>
      <w:r>
        <w:rPr>
          <w:rFonts w:hint="eastAsia" w:ascii="宋体" w:hAnsi="宋体"/>
        </w:rPr>
        <w:t>5.在制定和签署一份正式协议书之前，本比选申请文件连同你方的书面中选通知，构成在我们双方之间有约束力的合同。</w:t>
      </w:r>
    </w:p>
    <w:p>
      <w:pPr>
        <w:snapToGrid w:val="0"/>
        <w:spacing w:line="520" w:lineRule="exact"/>
        <w:ind w:firstLine="420" w:firstLineChars="200"/>
        <w:rPr>
          <w:rFonts w:ascii="宋体" w:hAnsi="宋体" w:cs="MingLiU"/>
          <w:snapToGrid w:val="0"/>
        </w:rPr>
      </w:pPr>
      <w:r>
        <w:rPr>
          <w:rFonts w:hint="eastAsia" w:ascii="宋体" w:hAnsi="宋体" w:cs="MingLiU"/>
          <w:snapToGrid w:val="0"/>
        </w:rPr>
        <w:t>注:</w:t>
      </w:r>
      <w:r>
        <w:rPr>
          <w:rFonts w:hint="eastAsia" w:ascii="宋体" w:hAnsi="宋体" w:cs="宋体"/>
        </w:rPr>
        <w:t>该比选申请报价包括但不限于完成本项目的人工费、材料费（含损耗）、机械费、运输费、装卸车库、措施费、企业管理费及利润、风险费用（包括但不限于可能出现的材料市场波动、政策性调整等因素）、规费、税金等一切费用。</w:t>
      </w:r>
    </w:p>
    <w:p>
      <w:pPr>
        <w:tabs>
          <w:tab w:val="left" w:pos="8300"/>
        </w:tabs>
        <w:autoSpaceDE w:val="0"/>
        <w:autoSpaceDN w:val="0"/>
        <w:adjustRightInd w:val="0"/>
        <w:snapToGrid w:val="0"/>
        <w:spacing w:line="520" w:lineRule="exact"/>
        <w:ind w:right="-20" w:firstLine="3570" w:firstLineChars="1700"/>
        <w:rPr>
          <w:rFonts w:ascii="宋体" w:hAnsi="宋体" w:cs="MingLiU"/>
          <w:snapToGrid w:val="0"/>
        </w:rPr>
      </w:pPr>
    </w:p>
    <w:p>
      <w:pPr>
        <w:tabs>
          <w:tab w:val="left" w:pos="8300"/>
        </w:tabs>
        <w:autoSpaceDE w:val="0"/>
        <w:autoSpaceDN w:val="0"/>
        <w:adjustRightInd w:val="0"/>
        <w:snapToGrid w:val="0"/>
        <w:spacing w:line="520" w:lineRule="exact"/>
        <w:ind w:right="-20" w:firstLine="3570" w:firstLineChars="1700"/>
        <w:rPr>
          <w:rFonts w:ascii="宋体" w:hAnsi="宋体" w:cs="MingLiU"/>
          <w:snapToGrid w:val="0"/>
        </w:rPr>
      </w:pPr>
    </w:p>
    <w:p>
      <w:pPr>
        <w:tabs>
          <w:tab w:val="left" w:pos="8300"/>
        </w:tabs>
        <w:autoSpaceDE w:val="0"/>
        <w:autoSpaceDN w:val="0"/>
        <w:adjustRightInd w:val="0"/>
        <w:snapToGrid w:val="0"/>
        <w:spacing w:line="520" w:lineRule="exact"/>
        <w:ind w:right="-20" w:firstLine="3570" w:firstLineChars="1700"/>
        <w:rPr>
          <w:rFonts w:ascii="宋体" w:hAnsi="宋体" w:cs="MingLiU"/>
          <w:snapToGrid w:val="0"/>
          <w:u w:val="single"/>
        </w:rPr>
      </w:pPr>
      <w:r>
        <w:rPr>
          <w:rFonts w:hint="eastAsia" w:ascii="宋体" w:hAnsi="宋体" w:cs="MingLiU"/>
          <w:snapToGrid w:val="0"/>
          <w:u w:val="single"/>
        </w:rPr>
        <w:t xml:space="preserve">比选申请人：（盖章）         </w:t>
      </w:r>
    </w:p>
    <w:p>
      <w:pPr>
        <w:tabs>
          <w:tab w:val="left" w:pos="8300"/>
        </w:tabs>
        <w:autoSpaceDE w:val="0"/>
        <w:autoSpaceDN w:val="0"/>
        <w:adjustRightInd w:val="0"/>
        <w:snapToGrid w:val="0"/>
        <w:spacing w:line="520" w:lineRule="exact"/>
        <w:ind w:right="-20" w:firstLine="3150" w:firstLineChars="1500"/>
        <w:rPr>
          <w:rFonts w:ascii="宋体" w:hAnsi="宋体" w:cs="MingLiU"/>
          <w:snapToGrid w:val="0"/>
          <w:u w:val="single"/>
        </w:rPr>
      </w:pPr>
      <w:r>
        <w:rPr>
          <w:rFonts w:hint="eastAsia" w:ascii="宋体" w:hAnsi="宋体" w:cs="MingLiU"/>
          <w:snapToGrid w:val="0"/>
          <w:u w:val="single"/>
        </w:rPr>
        <w:t xml:space="preserve">法定代表人或授权代表签字：（签名或盖章）  </w:t>
      </w:r>
    </w:p>
    <w:p>
      <w:pPr>
        <w:spacing w:line="520" w:lineRule="exact"/>
        <w:ind w:firstLine="5670" w:firstLineChars="2700"/>
        <w:rPr>
          <w:rFonts w:ascii="宋体" w:hAnsi="宋体" w:cs="MingLiU"/>
          <w:snapToGrid w:val="0"/>
          <w:u w:val="single"/>
        </w:rPr>
      </w:pPr>
      <w:r>
        <w:rPr>
          <w:rFonts w:hint="eastAsia" w:ascii="宋体" w:hAnsi="宋体" w:cs="MingLiU"/>
          <w:snapToGrid w:val="0"/>
          <w:u w:val="single"/>
        </w:rPr>
        <w:t xml:space="preserve">     年   月   日</w:t>
      </w:r>
    </w:p>
    <w:p>
      <w:pPr>
        <w:spacing w:line="360" w:lineRule="auto"/>
        <w:rPr>
          <w:rFonts w:ascii="华文细黑" w:hAnsi="华文细黑" w:eastAsia="华文细黑" w:cs="华文细黑"/>
          <w:sz w:val="24"/>
        </w:rPr>
      </w:pPr>
    </w:p>
    <w:p>
      <w:pPr>
        <w:pStyle w:val="13"/>
        <w:ind w:firstLine="480"/>
        <w:rPr>
          <w:rFonts w:ascii="华文细黑" w:hAnsi="华文细黑" w:eastAsia="华文细黑" w:cs="华文细黑"/>
          <w:sz w:val="24"/>
        </w:rPr>
      </w:pPr>
    </w:p>
    <w:p>
      <w:pPr>
        <w:pStyle w:val="13"/>
        <w:ind w:firstLine="480"/>
        <w:rPr>
          <w:rFonts w:ascii="华文细黑" w:hAnsi="华文细黑" w:eastAsia="华文细黑" w:cs="华文细黑"/>
          <w:sz w:val="24"/>
        </w:rPr>
      </w:pPr>
    </w:p>
    <w:bookmarkEnd w:id="51"/>
    <w:bookmarkEnd w:id="52"/>
    <w:bookmarkEnd w:id="53"/>
    <w:p>
      <w:pPr>
        <w:spacing w:line="360" w:lineRule="auto"/>
        <w:rPr>
          <w:rFonts w:ascii="宋体"/>
        </w:rPr>
      </w:pPr>
    </w:p>
    <w:p>
      <w:pPr>
        <w:pStyle w:val="2"/>
        <w:ind w:firstLine="0"/>
        <w:sectPr>
          <w:footerReference r:id="rId4" w:type="default"/>
          <w:pgSz w:w="11906" w:h="16838"/>
          <w:pgMar w:top="1276" w:right="1162" w:bottom="1135" w:left="1134" w:header="851" w:footer="992" w:gutter="0"/>
          <w:pgNumType w:start="1"/>
          <w:cols w:space="720" w:num="1"/>
          <w:titlePg/>
          <w:docGrid w:type="lines" w:linePitch="312" w:charSpace="0"/>
        </w:sectPr>
      </w:pPr>
    </w:p>
    <w:p>
      <w:pPr>
        <w:pStyle w:val="3"/>
        <w:jc w:val="center"/>
        <w:rPr>
          <w:b/>
          <w:sz w:val="36"/>
          <w:szCs w:val="36"/>
        </w:rPr>
      </w:pPr>
      <w:r>
        <w:rPr>
          <w:rFonts w:hint="eastAsia"/>
          <w:b/>
          <w:sz w:val="36"/>
          <w:szCs w:val="36"/>
        </w:rPr>
        <w:t>服务需求响应偏离表</w:t>
      </w:r>
    </w:p>
    <w:tbl>
      <w:tblPr>
        <w:tblStyle w:val="37"/>
        <w:tblW w:w="50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2450"/>
        <w:gridCol w:w="7605"/>
        <w:gridCol w:w="1365"/>
        <w:gridCol w:w="1547"/>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pPr>
              <w:adjustRightInd w:val="0"/>
              <w:snapToGrid w:val="0"/>
              <w:spacing w:line="400" w:lineRule="exact"/>
              <w:jc w:val="center"/>
              <w:rPr>
                <w:rFonts w:ascii="宋体" w:hAnsi="宋体" w:cs="宋体"/>
              </w:rPr>
            </w:pPr>
            <w:r>
              <w:rPr>
                <w:rFonts w:hint="eastAsia" w:ascii="宋体" w:hAnsi="宋体" w:cs="宋体"/>
              </w:rPr>
              <w:t>序号</w:t>
            </w:r>
          </w:p>
        </w:tc>
        <w:tc>
          <w:tcPr>
            <w:tcW w:w="833" w:type="pct"/>
            <w:vAlign w:val="center"/>
          </w:tcPr>
          <w:p>
            <w:pPr>
              <w:adjustRightInd w:val="0"/>
              <w:snapToGrid w:val="0"/>
              <w:spacing w:line="400" w:lineRule="exact"/>
              <w:jc w:val="center"/>
              <w:rPr>
                <w:rFonts w:ascii="宋体" w:hAnsi="宋体" w:cs="宋体"/>
              </w:rPr>
            </w:pPr>
            <w:r>
              <w:rPr>
                <w:rFonts w:hint="eastAsia" w:ascii="宋体" w:hAnsi="宋体" w:cs="宋体"/>
              </w:rPr>
              <w:t>项目名称</w:t>
            </w:r>
          </w:p>
        </w:tc>
        <w:tc>
          <w:tcPr>
            <w:tcW w:w="2586" w:type="pct"/>
            <w:vAlign w:val="center"/>
          </w:tcPr>
          <w:p>
            <w:pPr>
              <w:adjustRightInd w:val="0"/>
              <w:snapToGrid w:val="0"/>
              <w:spacing w:line="400" w:lineRule="exact"/>
              <w:jc w:val="center"/>
              <w:rPr>
                <w:rFonts w:ascii="宋体" w:hAnsi="宋体" w:cs="宋体"/>
              </w:rPr>
            </w:pPr>
            <w:r>
              <w:rPr>
                <w:rFonts w:hint="eastAsia" w:ascii="宋体" w:hAnsi="宋体" w:cs="宋体"/>
              </w:rPr>
              <w:t>服务内容</w:t>
            </w:r>
          </w:p>
        </w:tc>
        <w:tc>
          <w:tcPr>
            <w:tcW w:w="464" w:type="pct"/>
            <w:vAlign w:val="center"/>
          </w:tcPr>
          <w:p>
            <w:pPr>
              <w:adjustRightInd w:val="0"/>
              <w:snapToGrid w:val="0"/>
              <w:spacing w:line="400" w:lineRule="exact"/>
              <w:jc w:val="center"/>
              <w:rPr>
                <w:rFonts w:ascii="宋体" w:hAnsi="宋体" w:cs="宋体"/>
              </w:rPr>
            </w:pPr>
            <w:r>
              <w:rPr>
                <w:rFonts w:hint="eastAsia" w:ascii="宋体" w:hAnsi="宋体" w:cs="宋体"/>
              </w:rPr>
              <w:t>数量/期限</w:t>
            </w:r>
          </w:p>
        </w:tc>
        <w:tc>
          <w:tcPr>
            <w:tcW w:w="526" w:type="pct"/>
            <w:vAlign w:val="center"/>
          </w:tcPr>
          <w:p>
            <w:pPr>
              <w:adjustRightInd w:val="0"/>
              <w:snapToGrid w:val="0"/>
              <w:spacing w:line="400" w:lineRule="exact"/>
              <w:jc w:val="center"/>
              <w:rPr>
                <w:rFonts w:ascii="宋体" w:hAnsi="宋体" w:cs="宋体"/>
              </w:rPr>
            </w:pPr>
            <w:r>
              <w:rPr>
                <w:rFonts w:hint="eastAsia" w:ascii="宋体" w:hAnsi="宋体" w:cs="宋体"/>
              </w:rPr>
              <w:t>响应/偏离</w:t>
            </w:r>
          </w:p>
        </w:tc>
        <w:tc>
          <w:tcPr>
            <w:tcW w:w="367" w:type="pct"/>
            <w:vAlign w:val="center"/>
          </w:tcPr>
          <w:p>
            <w:pPr>
              <w:adjustRightInd w:val="0"/>
              <w:snapToGrid w:val="0"/>
              <w:spacing w:line="400" w:lineRule="exact"/>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1</w:t>
            </w:r>
          </w:p>
        </w:tc>
        <w:tc>
          <w:tcPr>
            <w:tcW w:w="833"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安全基础梳理和摸底★</w:t>
            </w:r>
          </w:p>
        </w:tc>
        <w:tc>
          <w:tcPr>
            <w:tcW w:w="2586" w:type="pct"/>
            <w:vAlign w:val="center"/>
          </w:tcPr>
          <w:p>
            <w:pPr>
              <w:adjustRightInd w:val="0"/>
              <w:snapToGrid w:val="0"/>
              <w:spacing w:before="187" w:after="187" w:line="400" w:lineRule="exact"/>
              <w:jc w:val="left"/>
              <w:rPr>
                <w:rFonts w:ascii="宋体" w:hAnsi="宋体" w:cs="宋体"/>
              </w:rPr>
            </w:pPr>
            <w:r>
              <w:rPr>
                <w:rFonts w:hint="eastAsia" w:ascii="宋体" w:hAnsi="宋体" w:cs="宋体"/>
              </w:rPr>
              <w:t>1、主要以管理和技术的手段，通过调研、上机查验等方式，摸清集团在管理制度和安全防护方面的现状、问题，并进行一次漏洞问题排查。</w:t>
            </w:r>
          </w:p>
          <w:p>
            <w:pPr>
              <w:adjustRightInd w:val="0"/>
              <w:snapToGrid w:val="0"/>
              <w:spacing w:before="187" w:after="187" w:line="400" w:lineRule="exact"/>
              <w:jc w:val="left"/>
              <w:rPr>
                <w:rFonts w:ascii="宋体" w:hAnsi="宋体" w:cs="宋体"/>
              </w:rPr>
            </w:pPr>
            <w:r>
              <w:rPr>
                <w:rFonts w:hint="eastAsia" w:ascii="宋体" w:hAnsi="宋体" w:cs="宋体"/>
              </w:rPr>
              <w:t>2、出具《重咨集团网络信息和数据安全管理制度清单》《重咨集团制度运行问题及差距清单》；《重咨集团信息化资产清单》《重咨集团应用系统清单》《重咨集团安全防护策略问题清单》；《漏洞扫描报告》、《基线核查报告》、《渗透测试报告》。</w:t>
            </w:r>
          </w:p>
        </w:tc>
        <w:tc>
          <w:tcPr>
            <w:tcW w:w="464"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1次/年</w:t>
            </w:r>
          </w:p>
        </w:tc>
        <w:tc>
          <w:tcPr>
            <w:tcW w:w="526" w:type="pct"/>
            <w:vAlign w:val="center"/>
          </w:tcPr>
          <w:p>
            <w:pPr>
              <w:adjustRightInd w:val="0"/>
              <w:snapToGrid w:val="0"/>
              <w:spacing w:line="400" w:lineRule="exact"/>
              <w:jc w:val="center"/>
              <w:rPr>
                <w:rFonts w:ascii="宋体" w:hAnsi="宋体" w:cs="宋体"/>
              </w:rPr>
            </w:pPr>
            <w:r>
              <w:rPr>
                <w:rFonts w:hint="eastAsia" w:ascii="宋体" w:hAnsi="宋体" w:cs="宋体"/>
                <w:i/>
                <w:iCs/>
              </w:rPr>
              <w:t>比选申请人填写</w:t>
            </w:r>
          </w:p>
        </w:tc>
        <w:tc>
          <w:tcPr>
            <w:tcW w:w="367" w:type="pct"/>
            <w:vAlign w:val="center"/>
          </w:tcPr>
          <w:p>
            <w:pPr>
              <w:adjustRightInd w:val="0"/>
              <w:snapToGrid w:val="0"/>
              <w:spacing w:line="400" w:lineRule="exact"/>
              <w:jc w:val="center"/>
              <w:rPr>
                <w:rFonts w:ascii="宋体" w:hAnsi="宋体" w:cs="宋体"/>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2</w:t>
            </w:r>
          </w:p>
        </w:tc>
        <w:tc>
          <w:tcPr>
            <w:tcW w:w="833"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网络与信息安全风险评估★</w:t>
            </w:r>
          </w:p>
        </w:tc>
        <w:tc>
          <w:tcPr>
            <w:tcW w:w="2586" w:type="pct"/>
            <w:vAlign w:val="center"/>
          </w:tcPr>
          <w:p>
            <w:pPr>
              <w:adjustRightInd w:val="0"/>
              <w:snapToGrid w:val="0"/>
              <w:spacing w:before="187" w:after="187" w:line="400" w:lineRule="exact"/>
              <w:jc w:val="left"/>
              <w:rPr>
                <w:rFonts w:ascii="宋体" w:hAnsi="宋体" w:cs="宋体"/>
              </w:rPr>
            </w:pPr>
            <w:r>
              <w:rPr>
                <w:rFonts w:hint="eastAsia" w:ascii="宋体" w:hAnsi="宋体" w:cs="宋体"/>
              </w:rPr>
              <w:t>1、根据《中国人民共和国网络安全法》、等级保护制度要求，以及《信息安全技术 信息安全风险评估方法》（GB/T 20984-2022）等评估标准，对重咨集团进行包括物理安全、人员安全、管理安全、建设安全、运维安全、应用安全等的综合性安全风险评估，以识别集团自身在网络与信息安全管理、建设、运维、运营过程中的脆弱性及面临的风险，对风险进行定级并提出风险处理建议，协助重咨集团建立整改流程、跟踪机制，清晰掌握系统安全整改进度、效果、总体情况。</w:t>
            </w:r>
          </w:p>
          <w:p>
            <w:pPr>
              <w:adjustRightInd w:val="0"/>
              <w:snapToGrid w:val="0"/>
              <w:spacing w:before="187" w:after="187" w:line="400" w:lineRule="exact"/>
              <w:jc w:val="left"/>
              <w:rPr>
                <w:rFonts w:ascii="宋体" w:hAnsi="宋体" w:cs="宋体"/>
              </w:rPr>
            </w:pPr>
            <w:r>
              <w:rPr>
                <w:rFonts w:hint="eastAsia" w:ascii="宋体" w:hAnsi="宋体" w:cs="宋体"/>
              </w:rPr>
              <w:t>2、输出《重咨集团网络与信息安全风险评估问题单》、《重咨集团网络与信息安全风险评估报告》。</w:t>
            </w:r>
          </w:p>
        </w:tc>
        <w:tc>
          <w:tcPr>
            <w:tcW w:w="464"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1次/年</w:t>
            </w:r>
          </w:p>
        </w:tc>
        <w:tc>
          <w:tcPr>
            <w:tcW w:w="526" w:type="pct"/>
            <w:vAlign w:val="center"/>
          </w:tcPr>
          <w:p>
            <w:pPr>
              <w:adjustRightInd w:val="0"/>
              <w:snapToGrid w:val="0"/>
              <w:spacing w:line="400" w:lineRule="exact"/>
              <w:jc w:val="center"/>
              <w:rPr>
                <w:rFonts w:ascii="宋体" w:hAnsi="宋体" w:cs="宋体"/>
              </w:rPr>
            </w:pPr>
            <w:r>
              <w:rPr>
                <w:rFonts w:hint="eastAsia" w:ascii="宋体" w:hAnsi="宋体" w:cs="宋体"/>
                <w:i/>
                <w:iCs/>
              </w:rPr>
              <w:t>比选申请人填写</w:t>
            </w:r>
          </w:p>
        </w:tc>
        <w:tc>
          <w:tcPr>
            <w:tcW w:w="367" w:type="pct"/>
            <w:vAlign w:val="center"/>
          </w:tcPr>
          <w:p>
            <w:pPr>
              <w:adjustRightInd w:val="0"/>
              <w:snapToGrid w:val="0"/>
              <w:spacing w:line="400" w:lineRule="exact"/>
              <w:jc w:val="center"/>
              <w:rPr>
                <w:rFonts w:ascii="宋体" w:hAnsi="宋体" w:cs="宋体"/>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3</w:t>
            </w:r>
          </w:p>
        </w:tc>
        <w:tc>
          <w:tcPr>
            <w:tcW w:w="833"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数据安全风险评估★</w:t>
            </w:r>
          </w:p>
        </w:tc>
        <w:tc>
          <w:tcPr>
            <w:tcW w:w="2586" w:type="pct"/>
            <w:vAlign w:val="center"/>
          </w:tcPr>
          <w:p>
            <w:pPr>
              <w:adjustRightInd w:val="0"/>
              <w:snapToGrid w:val="0"/>
              <w:spacing w:before="187" w:after="187" w:line="400" w:lineRule="exact"/>
              <w:jc w:val="left"/>
              <w:rPr>
                <w:rFonts w:ascii="宋体" w:hAnsi="宋体" w:cs="宋体"/>
              </w:rPr>
            </w:pPr>
            <w:r>
              <w:rPr>
                <w:rFonts w:hint="eastAsia" w:ascii="宋体" w:hAnsi="宋体" w:cs="宋体"/>
              </w:rPr>
              <w:t>1、根据《中华人民共和国数据安全法》、《重庆市数据条例》等法律法规和文件要求，对重咨集团本部的数据资产梳理以及重要信息系统进行数据安全风险评估，协助集团对数据资产分类分级管理、全生命周期安全防护等方面的完善，包括但不限于数据安全管理制度完善、数据资产梳理、数据分类分级、数据处理活动分析、数据全生命周期安全性防护分析。</w:t>
            </w:r>
          </w:p>
          <w:p>
            <w:pPr>
              <w:adjustRightInd w:val="0"/>
              <w:snapToGrid w:val="0"/>
              <w:spacing w:before="187" w:after="187" w:line="400" w:lineRule="exact"/>
              <w:jc w:val="left"/>
              <w:rPr>
                <w:rFonts w:ascii="宋体" w:hAnsi="宋体" w:cs="宋体"/>
              </w:rPr>
            </w:pPr>
            <w:r>
              <w:rPr>
                <w:rFonts w:hint="eastAsia" w:ascii="宋体" w:hAnsi="宋体" w:cs="宋体"/>
              </w:rPr>
              <w:t>2、输出《重咨集团数据资产清单及分类分级目录》、《重咨集团xx系统数据安全风险评估报告》。</w:t>
            </w:r>
          </w:p>
        </w:tc>
        <w:tc>
          <w:tcPr>
            <w:tcW w:w="464"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1次/年</w:t>
            </w:r>
          </w:p>
        </w:tc>
        <w:tc>
          <w:tcPr>
            <w:tcW w:w="526" w:type="pct"/>
            <w:vAlign w:val="center"/>
          </w:tcPr>
          <w:p>
            <w:pPr>
              <w:adjustRightInd w:val="0"/>
              <w:snapToGrid w:val="0"/>
              <w:spacing w:line="400" w:lineRule="exact"/>
              <w:jc w:val="center"/>
              <w:rPr>
                <w:rFonts w:ascii="宋体" w:hAnsi="宋体" w:cs="宋体"/>
              </w:rPr>
            </w:pPr>
            <w:r>
              <w:rPr>
                <w:rFonts w:hint="eastAsia" w:ascii="宋体" w:hAnsi="宋体" w:cs="宋体"/>
                <w:i/>
                <w:iCs/>
              </w:rPr>
              <w:t>比选申请人填写</w:t>
            </w:r>
          </w:p>
        </w:tc>
        <w:tc>
          <w:tcPr>
            <w:tcW w:w="367" w:type="pct"/>
            <w:vAlign w:val="center"/>
          </w:tcPr>
          <w:p>
            <w:pPr>
              <w:adjustRightInd w:val="0"/>
              <w:snapToGrid w:val="0"/>
              <w:spacing w:line="400" w:lineRule="exact"/>
              <w:jc w:val="center"/>
              <w:rPr>
                <w:rFonts w:ascii="宋体" w:hAnsi="宋体" w:cs="宋体"/>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4</w:t>
            </w:r>
          </w:p>
        </w:tc>
        <w:tc>
          <w:tcPr>
            <w:tcW w:w="833"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安全加固★</w:t>
            </w:r>
          </w:p>
        </w:tc>
        <w:tc>
          <w:tcPr>
            <w:tcW w:w="2586" w:type="pct"/>
            <w:vAlign w:val="center"/>
          </w:tcPr>
          <w:p>
            <w:pPr>
              <w:adjustRightInd w:val="0"/>
              <w:snapToGrid w:val="0"/>
              <w:spacing w:before="187" w:after="187" w:line="400" w:lineRule="exact"/>
              <w:jc w:val="left"/>
              <w:rPr>
                <w:rFonts w:ascii="宋体" w:hAnsi="宋体" w:cs="宋体"/>
              </w:rPr>
            </w:pPr>
            <w:r>
              <w:rPr>
                <w:rFonts w:hint="eastAsia" w:ascii="宋体" w:hAnsi="宋体" w:cs="宋体"/>
              </w:rPr>
              <w:t>对在安全评估梳理、定期扫描、渗透测试、等保测评、安全检查中发现的漏洞进行安全加固，指导管理员，协助系统建设单位完成加固，并对加固完成情况进行验证把关。输出《重咨集团安全加固报告》。</w:t>
            </w:r>
          </w:p>
        </w:tc>
        <w:tc>
          <w:tcPr>
            <w:tcW w:w="464"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2次/年</w:t>
            </w:r>
          </w:p>
        </w:tc>
        <w:tc>
          <w:tcPr>
            <w:tcW w:w="526" w:type="pct"/>
            <w:vAlign w:val="center"/>
          </w:tcPr>
          <w:p>
            <w:pPr>
              <w:adjustRightInd w:val="0"/>
              <w:snapToGrid w:val="0"/>
              <w:spacing w:line="400" w:lineRule="exact"/>
              <w:jc w:val="center"/>
              <w:rPr>
                <w:rFonts w:ascii="宋体" w:hAnsi="宋体" w:cs="宋体"/>
              </w:rPr>
            </w:pPr>
            <w:r>
              <w:rPr>
                <w:rFonts w:hint="eastAsia" w:ascii="宋体" w:hAnsi="宋体" w:cs="宋体"/>
                <w:i/>
                <w:iCs/>
              </w:rPr>
              <w:t>比选申请人填写</w:t>
            </w:r>
          </w:p>
        </w:tc>
        <w:tc>
          <w:tcPr>
            <w:tcW w:w="367" w:type="pct"/>
            <w:vAlign w:val="center"/>
          </w:tcPr>
          <w:p>
            <w:pPr>
              <w:adjustRightInd w:val="0"/>
              <w:snapToGrid w:val="0"/>
              <w:spacing w:line="400" w:lineRule="exact"/>
              <w:jc w:val="center"/>
              <w:rPr>
                <w:rFonts w:ascii="宋体" w:hAnsi="宋体" w:cs="宋体"/>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pPr>
              <w:adjustRightInd w:val="0"/>
              <w:snapToGrid w:val="0"/>
              <w:spacing w:before="187" w:after="187" w:line="400" w:lineRule="exact"/>
              <w:jc w:val="center"/>
              <w:rPr>
                <w:rFonts w:ascii="宋体" w:hAnsi="宋体" w:cs="宋体"/>
              </w:rPr>
            </w:pPr>
            <w:r>
              <w:rPr>
                <w:rFonts w:ascii="宋体" w:hAnsi="宋体" w:cs="宋体"/>
              </w:rPr>
              <w:t>5</w:t>
            </w:r>
          </w:p>
        </w:tc>
        <w:tc>
          <w:tcPr>
            <w:tcW w:w="833"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定期扫描服务★</w:t>
            </w:r>
          </w:p>
        </w:tc>
        <w:tc>
          <w:tcPr>
            <w:tcW w:w="2586" w:type="pct"/>
            <w:vAlign w:val="center"/>
          </w:tcPr>
          <w:p>
            <w:pPr>
              <w:adjustRightInd w:val="0"/>
              <w:snapToGrid w:val="0"/>
              <w:spacing w:before="187" w:after="187" w:line="400" w:lineRule="exact"/>
              <w:jc w:val="left"/>
              <w:rPr>
                <w:rFonts w:ascii="宋体" w:hAnsi="宋体" w:cs="宋体"/>
              </w:rPr>
            </w:pPr>
            <w:r>
              <w:rPr>
                <w:rFonts w:ascii="宋体" w:hAnsi="宋体" w:cs="宋体"/>
              </w:rPr>
              <w:t>1</w:t>
            </w:r>
            <w:r>
              <w:rPr>
                <w:rFonts w:hint="eastAsia" w:ascii="宋体" w:hAnsi="宋体" w:cs="宋体"/>
              </w:rPr>
              <w:t>、对重咨集团基础网络单元、安全设备和主要信息系统，每月进行安全扫描。针对发现的安全问题提供整改建议，出具《重咨集团网络安全漏扫报告》。</w:t>
            </w:r>
          </w:p>
          <w:p>
            <w:pPr>
              <w:adjustRightInd w:val="0"/>
              <w:snapToGrid w:val="0"/>
              <w:spacing w:before="187" w:after="187" w:line="400" w:lineRule="exact"/>
              <w:jc w:val="left"/>
              <w:rPr>
                <w:rFonts w:ascii="宋体" w:hAnsi="宋体" w:cs="宋体"/>
              </w:rPr>
            </w:pPr>
            <w:r>
              <w:rPr>
                <w:rFonts w:ascii="宋体" w:hAnsi="宋体" w:cs="宋体"/>
              </w:rPr>
              <w:t>2</w:t>
            </w:r>
            <w:r>
              <w:rPr>
                <w:rFonts w:hint="eastAsia" w:ascii="宋体" w:hAnsi="宋体" w:cs="宋体"/>
              </w:rPr>
              <w:t>、针对扫描发现的安全隐患，协助重咨集团建立整改跟踪机制，规范整改行为，协助整改安全隐患，让集团能清晰掌握系统安全整改进度、效果、总体情况，按季度输出漏扫分析报告《重咨集团XX季度漏洞扫描分析报告》。</w:t>
            </w:r>
          </w:p>
        </w:tc>
        <w:tc>
          <w:tcPr>
            <w:tcW w:w="464"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1次/月，共12次</w:t>
            </w:r>
          </w:p>
        </w:tc>
        <w:tc>
          <w:tcPr>
            <w:tcW w:w="526" w:type="pct"/>
            <w:vAlign w:val="center"/>
          </w:tcPr>
          <w:p>
            <w:pPr>
              <w:adjustRightInd w:val="0"/>
              <w:snapToGrid w:val="0"/>
              <w:spacing w:line="400" w:lineRule="exact"/>
              <w:jc w:val="center"/>
              <w:rPr>
                <w:rFonts w:ascii="宋体" w:hAnsi="宋体" w:cs="宋体"/>
              </w:rPr>
            </w:pPr>
            <w:r>
              <w:rPr>
                <w:rFonts w:hint="eastAsia" w:ascii="宋体" w:hAnsi="宋体" w:cs="宋体"/>
                <w:i/>
                <w:iCs/>
              </w:rPr>
              <w:t>比选申请人填写</w:t>
            </w:r>
          </w:p>
        </w:tc>
        <w:tc>
          <w:tcPr>
            <w:tcW w:w="367" w:type="pct"/>
            <w:vAlign w:val="center"/>
          </w:tcPr>
          <w:p>
            <w:pPr>
              <w:adjustRightInd w:val="0"/>
              <w:snapToGrid w:val="0"/>
              <w:spacing w:line="400" w:lineRule="exact"/>
              <w:jc w:val="center"/>
              <w:rPr>
                <w:rFonts w:ascii="宋体" w:hAnsi="宋体" w:cs="宋体"/>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pPr>
              <w:adjustRightInd w:val="0"/>
              <w:snapToGrid w:val="0"/>
              <w:spacing w:before="187" w:after="187" w:line="400" w:lineRule="exact"/>
              <w:jc w:val="center"/>
              <w:rPr>
                <w:rFonts w:ascii="宋体" w:hAnsi="宋体" w:cs="宋体"/>
              </w:rPr>
            </w:pPr>
            <w:r>
              <w:rPr>
                <w:rFonts w:ascii="宋体" w:hAnsi="宋体" w:cs="宋体"/>
              </w:rPr>
              <w:t>6</w:t>
            </w:r>
          </w:p>
        </w:tc>
        <w:tc>
          <w:tcPr>
            <w:tcW w:w="833"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定期渗透服务★</w:t>
            </w:r>
          </w:p>
        </w:tc>
        <w:tc>
          <w:tcPr>
            <w:tcW w:w="2586" w:type="pct"/>
            <w:vAlign w:val="center"/>
          </w:tcPr>
          <w:p>
            <w:pPr>
              <w:adjustRightInd w:val="0"/>
              <w:snapToGrid w:val="0"/>
              <w:spacing w:before="187" w:after="187" w:line="400" w:lineRule="exact"/>
              <w:jc w:val="left"/>
              <w:rPr>
                <w:rFonts w:ascii="宋体" w:hAnsi="宋体" w:cs="宋体"/>
              </w:rPr>
            </w:pPr>
            <w:r>
              <w:rPr>
                <w:rFonts w:hint="eastAsia" w:ascii="宋体" w:hAnsi="宋体" w:cs="宋体"/>
              </w:rPr>
              <w:t>1、按约定周期开展渗透测试服务，对重咨集团重要信息系统，定期进行安全渗透测试。针对发现的安全问题提供整改建议，出具《重咨集团xx系统渗透测试报告》。</w:t>
            </w:r>
          </w:p>
          <w:p>
            <w:pPr>
              <w:adjustRightInd w:val="0"/>
              <w:snapToGrid w:val="0"/>
              <w:spacing w:before="187" w:after="187" w:line="400" w:lineRule="exact"/>
              <w:jc w:val="left"/>
              <w:rPr>
                <w:rFonts w:ascii="宋体" w:hAnsi="宋体" w:cs="宋体"/>
              </w:rPr>
            </w:pPr>
            <w:r>
              <w:rPr>
                <w:rFonts w:hint="eastAsia" w:ascii="宋体" w:hAnsi="宋体" w:cs="宋体"/>
              </w:rPr>
              <w:t>2、针对渗透发现的安全隐患，协助重咨集团建立整改跟踪机制，规范整改行为，协助整改安全隐患，让重咨集团能清晰掌握系统安全整改进度、效果、总体情况。服务完输出渗透分析报告《重咨集团渗透测试分析报告》。</w:t>
            </w:r>
          </w:p>
        </w:tc>
        <w:tc>
          <w:tcPr>
            <w:tcW w:w="464"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1次/季度，共4次</w:t>
            </w:r>
          </w:p>
        </w:tc>
        <w:tc>
          <w:tcPr>
            <w:tcW w:w="526" w:type="pct"/>
            <w:vAlign w:val="center"/>
          </w:tcPr>
          <w:p>
            <w:pPr>
              <w:adjustRightInd w:val="0"/>
              <w:snapToGrid w:val="0"/>
              <w:spacing w:line="400" w:lineRule="exact"/>
              <w:jc w:val="center"/>
              <w:rPr>
                <w:rFonts w:hint="eastAsia" w:ascii="宋体" w:hAnsi="宋体" w:cs="宋体"/>
                <w:i/>
                <w:iCs/>
              </w:rPr>
            </w:pPr>
            <w:r>
              <w:rPr>
                <w:rFonts w:hint="eastAsia" w:ascii="宋体" w:hAnsi="宋体" w:cs="宋体"/>
                <w:i/>
                <w:iCs/>
              </w:rPr>
              <w:t>比选申请人填写</w:t>
            </w:r>
          </w:p>
        </w:tc>
        <w:tc>
          <w:tcPr>
            <w:tcW w:w="367" w:type="pct"/>
            <w:vAlign w:val="center"/>
          </w:tcPr>
          <w:p>
            <w:pPr>
              <w:adjustRightInd w:val="0"/>
              <w:snapToGrid w:val="0"/>
              <w:spacing w:line="400" w:lineRule="exact"/>
              <w:jc w:val="center"/>
              <w:rPr>
                <w:rFonts w:ascii="宋体" w:hAnsi="宋体" w:cs="宋体"/>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7</w:t>
            </w:r>
          </w:p>
        </w:tc>
        <w:tc>
          <w:tcPr>
            <w:tcW w:w="833"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安全策略优化★</w:t>
            </w:r>
          </w:p>
        </w:tc>
        <w:tc>
          <w:tcPr>
            <w:tcW w:w="2586" w:type="pct"/>
            <w:vAlign w:val="center"/>
          </w:tcPr>
          <w:p>
            <w:pPr>
              <w:adjustRightInd w:val="0"/>
              <w:snapToGrid w:val="0"/>
              <w:spacing w:before="187" w:after="187" w:line="400" w:lineRule="exact"/>
              <w:jc w:val="left"/>
              <w:rPr>
                <w:rFonts w:ascii="宋体" w:hAnsi="宋体" w:cs="宋体"/>
              </w:rPr>
            </w:pPr>
            <w:r>
              <w:rPr>
                <w:rFonts w:hint="eastAsia" w:ascii="宋体" w:hAnsi="宋体" w:cs="宋体"/>
              </w:rPr>
              <w:t>对重要的网络安全设备进行策略核查，根据应用系统的环境对策略进行优化调整，输出《重咨集团策略优化报告》。</w:t>
            </w:r>
          </w:p>
        </w:tc>
        <w:tc>
          <w:tcPr>
            <w:tcW w:w="464"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2次/年</w:t>
            </w:r>
          </w:p>
        </w:tc>
        <w:tc>
          <w:tcPr>
            <w:tcW w:w="526" w:type="pct"/>
            <w:vAlign w:val="center"/>
          </w:tcPr>
          <w:p>
            <w:pPr>
              <w:adjustRightInd w:val="0"/>
              <w:snapToGrid w:val="0"/>
              <w:spacing w:line="400" w:lineRule="exact"/>
              <w:jc w:val="center"/>
              <w:rPr>
                <w:rFonts w:hint="eastAsia" w:ascii="宋体" w:hAnsi="宋体" w:cs="宋体"/>
                <w:i/>
                <w:iCs/>
              </w:rPr>
            </w:pPr>
            <w:r>
              <w:rPr>
                <w:rFonts w:hint="eastAsia" w:ascii="宋体" w:hAnsi="宋体" w:cs="宋体"/>
                <w:i/>
                <w:iCs/>
              </w:rPr>
              <w:t>比选申请人填写</w:t>
            </w:r>
          </w:p>
        </w:tc>
        <w:tc>
          <w:tcPr>
            <w:tcW w:w="367" w:type="pct"/>
            <w:vAlign w:val="center"/>
          </w:tcPr>
          <w:p>
            <w:pPr>
              <w:adjustRightInd w:val="0"/>
              <w:snapToGrid w:val="0"/>
              <w:spacing w:line="400" w:lineRule="exact"/>
              <w:jc w:val="center"/>
              <w:rPr>
                <w:rFonts w:ascii="宋体" w:hAnsi="宋体" w:cs="宋体"/>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8</w:t>
            </w:r>
          </w:p>
        </w:tc>
        <w:tc>
          <w:tcPr>
            <w:tcW w:w="833"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安全监控服务★</w:t>
            </w:r>
          </w:p>
        </w:tc>
        <w:tc>
          <w:tcPr>
            <w:tcW w:w="2586" w:type="pct"/>
            <w:vAlign w:val="center"/>
          </w:tcPr>
          <w:p>
            <w:pPr>
              <w:adjustRightInd w:val="0"/>
              <w:snapToGrid w:val="0"/>
              <w:spacing w:before="187" w:after="187" w:line="400" w:lineRule="exact"/>
              <w:jc w:val="left"/>
              <w:rPr>
                <w:rFonts w:ascii="宋体" w:hAnsi="宋体" w:cs="宋体"/>
              </w:rPr>
            </w:pPr>
            <w:r>
              <w:rPr>
                <w:rFonts w:ascii="宋体" w:hAnsi="宋体" w:cs="宋体"/>
              </w:rPr>
              <w:t>1</w:t>
            </w:r>
            <w:r>
              <w:rPr>
                <w:rFonts w:hint="eastAsia" w:ascii="宋体" w:hAnsi="宋体" w:cs="宋体"/>
              </w:rPr>
              <w:t>、1年365天7×24小时，至少每隔30分钟一次对重咨集团网站群的网站以及咨采平台网站页面进行安全性、可用性持续监控；有效反馈被监控系统的安全状态，及时发现系统被篡改、被植入恶意代码等、网络故障、服务宕机等安全事件；通过电话实时进行安全事件告警。</w:t>
            </w:r>
          </w:p>
          <w:p>
            <w:pPr>
              <w:adjustRightInd w:val="0"/>
              <w:snapToGrid w:val="0"/>
              <w:spacing w:before="187" w:after="187" w:line="400" w:lineRule="exact"/>
              <w:jc w:val="left"/>
              <w:rPr>
                <w:rFonts w:ascii="宋体" w:hAnsi="宋体" w:cs="宋体"/>
              </w:rPr>
            </w:pPr>
            <w:r>
              <w:rPr>
                <w:rFonts w:hint="eastAsia" w:ascii="宋体" w:hAnsi="宋体" w:cs="宋体"/>
              </w:rPr>
              <w:t>2、每半年输出一次监测分析报告《重咨集团网站安全监测分析报告》。</w:t>
            </w:r>
          </w:p>
        </w:tc>
        <w:tc>
          <w:tcPr>
            <w:tcW w:w="464"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1年</w:t>
            </w:r>
          </w:p>
        </w:tc>
        <w:tc>
          <w:tcPr>
            <w:tcW w:w="526" w:type="pct"/>
            <w:vAlign w:val="center"/>
          </w:tcPr>
          <w:p>
            <w:pPr>
              <w:adjustRightInd w:val="0"/>
              <w:snapToGrid w:val="0"/>
              <w:spacing w:line="400" w:lineRule="exact"/>
              <w:jc w:val="center"/>
              <w:rPr>
                <w:rFonts w:hint="eastAsia" w:ascii="宋体" w:hAnsi="宋体" w:cs="宋体"/>
                <w:i/>
                <w:iCs/>
              </w:rPr>
            </w:pPr>
            <w:r>
              <w:rPr>
                <w:rFonts w:hint="eastAsia" w:ascii="宋体" w:hAnsi="宋体" w:cs="宋体"/>
                <w:i/>
                <w:iCs/>
              </w:rPr>
              <w:t>比选申请人填写</w:t>
            </w:r>
          </w:p>
        </w:tc>
        <w:tc>
          <w:tcPr>
            <w:tcW w:w="367" w:type="pct"/>
            <w:vAlign w:val="center"/>
          </w:tcPr>
          <w:p>
            <w:pPr>
              <w:adjustRightInd w:val="0"/>
              <w:snapToGrid w:val="0"/>
              <w:spacing w:line="400" w:lineRule="exact"/>
              <w:jc w:val="center"/>
              <w:rPr>
                <w:rFonts w:ascii="宋体" w:hAnsi="宋体" w:cs="宋体"/>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9</w:t>
            </w:r>
          </w:p>
        </w:tc>
        <w:tc>
          <w:tcPr>
            <w:tcW w:w="833"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安全培训★</w:t>
            </w:r>
          </w:p>
        </w:tc>
        <w:tc>
          <w:tcPr>
            <w:tcW w:w="2586" w:type="pct"/>
            <w:vAlign w:val="center"/>
          </w:tcPr>
          <w:p>
            <w:pPr>
              <w:adjustRightInd w:val="0"/>
              <w:snapToGrid w:val="0"/>
              <w:spacing w:before="187" w:after="187" w:line="400" w:lineRule="exact"/>
              <w:jc w:val="left"/>
              <w:rPr>
                <w:rFonts w:ascii="宋体" w:hAnsi="宋体" w:cs="宋体"/>
              </w:rPr>
            </w:pPr>
            <w:r>
              <w:rPr>
                <w:rFonts w:ascii="宋体" w:hAnsi="宋体" w:cs="宋体"/>
              </w:rPr>
              <w:t>1</w:t>
            </w:r>
            <w:r>
              <w:rPr>
                <w:rFonts w:hint="eastAsia" w:ascii="宋体" w:hAnsi="宋体" w:cs="宋体"/>
              </w:rPr>
              <w:t>、在服务有效期内提供不少于两次安全培训，并提供培训课件。</w:t>
            </w:r>
          </w:p>
          <w:p>
            <w:pPr>
              <w:adjustRightInd w:val="0"/>
              <w:snapToGrid w:val="0"/>
              <w:spacing w:before="187" w:after="187" w:line="400" w:lineRule="exact"/>
              <w:jc w:val="left"/>
              <w:rPr>
                <w:rFonts w:ascii="宋体" w:hAnsi="宋体" w:cs="宋体"/>
              </w:rPr>
            </w:pPr>
            <w:r>
              <w:rPr>
                <w:rFonts w:hint="eastAsia" w:ascii="宋体" w:hAnsi="宋体" w:cs="宋体"/>
              </w:rPr>
              <w:t>2、针对重咨集团全体员工进行网络安全意识培训，提升集团全员网络与信息安全防范意识，不少于4学时。</w:t>
            </w:r>
          </w:p>
          <w:p>
            <w:pPr>
              <w:adjustRightInd w:val="0"/>
              <w:snapToGrid w:val="0"/>
              <w:spacing w:before="187" w:after="187" w:line="400" w:lineRule="exact"/>
              <w:jc w:val="left"/>
              <w:rPr>
                <w:rFonts w:ascii="宋体" w:hAnsi="宋体" w:cs="宋体"/>
              </w:rPr>
            </w:pPr>
            <w:r>
              <w:rPr>
                <w:rFonts w:ascii="宋体" w:hAnsi="宋体" w:cs="宋体"/>
              </w:rPr>
              <w:t>3</w:t>
            </w:r>
            <w:r>
              <w:rPr>
                <w:rFonts w:hint="eastAsia" w:ascii="宋体" w:hAnsi="宋体" w:cs="宋体"/>
              </w:rPr>
              <w:t>、针对重咨集团的技术人员开展进行网络安全涉及的法律法规、政策规定、网络安全防护基础，安全事件处置、安全基线达标、漏洞扫描及渗透测试等方面的培训。培训后运维人员能够掌握基本信息安全知识和工具使用方法，提升运维人员的安全技能，不少于8学时。</w:t>
            </w:r>
          </w:p>
          <w:p>
            <w:pPr>
              <w:adjustRightInd w:val="0"/>
              <w:snapToGrid w:val="0"/>
              <w:spacing w:before="187" w:after="187" w:line="400" w:lineRule="exact"/>
              <w:jc w:val="left"/>
              <w:rPr>
                <w:rFonts w:ascii="宋体" w:hAnsi="宋体" w:cs="宋体"/>
              </w:rPr>
            </w:pPr>
            <w:r>
              <w:rPr>
                <w:rFonts w:hint="eastAsia" w:ascii="宋体" w:hAnsi="宋体" w:cs="宋体"/>
              </w:rPr>
              <w:t>4、输出《重咨集团安全培训课件》、《安全培训记录》、《安全培训考查记录》。</w:t>
            </w:r>
          </w:p>
        </w:tc>
        <w:tc>
          <w:tcPr>
            <w:tcW w:w="464"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2次/年</w:t>
            </w:r>
          </w:p>
        </w:tc>
        <w:tc>
          <w:tcPr>
            <w:tcW w:w="526" w:type="pct"/>
            <w:vAlign w:val="center"/>
          </w:tcPr>
          <w:p>
            <w:pPr>
              <w:adjustRightInd w:val="0"/>
              <w:snapToGrid w:val="0"/>
              <w:spacing w:line="400" w:lineRule="exact"/>
              <w:jc w:val="center"/>
              <w:rPr>
                <w:rFonts w:hint="eastAsia" w:ascii="宋体" w:hAnsi="宋体" w:cs="宋体"/>
                <w:i/>
                <w:iCs/>
              </w:rPr>
            </w:pPr>
            <w:r>
              <w:rPr>
                <w:rFonts w:hint="eastAsia" w:ascii="宋体" w:hAnsi="宋体" w:cs="宋体"/>
                <w:i/>
                <w:iCs/>
              </w:rPr>
              <w:t>比选申请人填写</w:t>
            </w:r>
          </w:p>
        </w:tc>
        <w:tc>
          <w:tcPr>
            <w:tcW w:w="367" w:type="pct"/>
            <w:vAlign w:val="center"/>
          </w:tcPr>
          <w:p>
            <w:pPr>
              <w:adjustRightInd w:val="0"/>
              <w:snapToGrid w:val="0"/>
              <w:spacing w:line="400" w:lineRule="exact"/>
              <w:jc w:val="center"/>
              <w:rPr>
                <w:rFonts w:ascii="宋体" w:hAnsi="宋体" w:cs="宋体"/>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1</w:t>
            </w:r>
            <w:r>
              <w:rPr>
                <w:rFonts w:ascii="宋体" w:hAnsi="宋体" w:cs="宋体"/>
              </w:rPr>
              <w:t>0</w:t>
            </w:r>
          </w:p>
        </w:tc>
        <w:tc>
          <w:tcPr>
            <w:tcW w:w="833"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应急预案及演练★</w:t>
            </w:r>
          </w:p>
        </w:tc>
        <w:tc>
          <w:tcPr>
            <w:tcW w:w="2586" w:type="pct"/>
            <w:vAlign w:val="center"/>
          </w:tcPr>
          <w:p>
            <w:pPr>
              <w:adjustRightInd w:val="0"/>
              <w:snapToGrid w:val="0"/>
              <w:spacing w:before="187" w:after="187" w:line="400" w:lineRule="exact"/>
              <w:jc w:val="left"/>
              <w:rPr>
                <w:rFonts w:ascii="宋体" w:hAnsi="宋体" w:cs="宋体"/>
              </w:rPr>
            </w:pPr>
            <w:r>
              <w:rPr>
                <w:rFonts w:hint="eastAsia" w:ascii="宋体" w:hAnsi="宋体" w:cs="宋体"/>
              </w:rPr>
              <w:t>1、协助完善重咨集团的安全应急预案。</w:t>
            </w:r>
          </w:p>
          <w:p>
            <w:pPr>
              <w:adjustRightInd w:val="0"/>
              <w:snapToGrid w:val="0"/>
              <w:spacing w:before="187" w:after="187" w:line="400" w:lineRule="exact"/>
              <w:jc w:val="left"/>
              <w:rPr>
                <w:rFonts w:ascii="宋体" w:hAnsi="宋体" w:cs="宋体"/>
              </w:rPr>
            </w:pPr>
            <w:r>
              <w:rPr>
                <w:rFonts w:hint="eastAsia" w:ascii="宋体" w:hAnsi="宋体" w:cs="宋体"/>
              </w:rPr>
              <w:t>2、</w:t>
            </w:r>
            <w:r>
              <w:rPr>
                <w:rFonts w:hint="eastAsia" w:ascii="宋体" w:hAnsi="宋体" w:cs="宋体"/>
                <w:lang w:eastAsia="zh-Hans"/>
              </w:rPr>
              <w:t>根据</w:t>
            </w:r>
            <w:r>
              <w:rPr>
                <w:rFonts w:hint="eastAsia" w:ascii="宋体" w:hAnsi="宋体" w:cs="宋体"/>
              </w:rPr>
              <w:t>重咨</w:t>
            </w:r>
            <w:r>
              <w:rPr>
                <w:rFonts w:hint="eastAsia" w:ascii="宋体" w:hAnsi="宋体" w:cs="宋体"/>
                <w:lang w:eastAsia="zh-Hans"/>
              </w:rPr>
              <w:t>集团要求，制定演练计划，编写网络安全应急演练方案，搭建演练环境，安排技术人员到集团</w:t>
            </w:r>
            <w:r>
              <w:rPr>
                <w:rFonts w:hint="eastAsia" w:ascii="宋体" w:hAnsi="宋体" w:cs="宋体"/>
              </w:rPr>
              <w:t>开展现场应急演练，对应急演练存在的不足提出优化建议，协助</w:t>
            </w:r>
            <w:r>
              <w:rPr>
                <w:rFonts w:hint="eastAsia" w:ascii="宋体" w:hAnsi="宋体" w:cs="宋体"/>
                <w:lang w:eastAsia="zh-Hans"/>
              </w:rPr>
              <w:t>集团</w:t>
            </w:r>
            <w:r>
              <w:rPr>
                <w:rFonts w:hint="eastAsia" w:ascii="宋体" w:hAnsi="宋体" w:cs="宋体"/>
              </w:rPr>
              <w:t>提升应对突发网络安全事件的监控能力和处置能力。</w:t>
            </w:r>
          </w:p>
          <w:p>
            <w:pPr>
              <w:adjustRightInd w:val="0"/>
              <w:snapToGrid w:val="0"/>
              <w:spacing w:before="187" w:after="187" w:line="400" w:lineRule="exact"/>
              <w:jc w:val="left"/>
              <w:rPr>
                <w:rFonts w:ascii="宋体" w:hAnsi="宋体" w:cs="宋体"/>
              </w:rPr>
            </w:pPr>
            <w:r>
              <w:rPr>
                <w:rFonts w:ascii="宋体" w:hAnsi="宋体" w:cs="宋体"/>
              </w:rPr>
              <w:t>3</w:t>
            </w:r>
            <w:r>
              <w:rPr>
                <w:rFonts w:hint="eastAsia" w:ascii="宋体" w:hAnsi="宋体" w:cs="宋体"/>
              </w:rPr>
              <w:t>、输出《重咨集团网络与信息安全应急预案》、《重咨集团网络信息与数据安全总体应急预案框架》、《重咨集团XXX事件应急演练方案》、《重咨集团应急演练总结》。</w:t>
            </w:r>
          </w:p>
        </w:tc>
        <w:tc>
          <w:tcPr>
            <w:tcW w:w="464"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1</w:t>
            </w:r>
            <w:r>
              <w:rPr>
                <w:rFonts w:hint="eastAsia" w:ascii="宋体" w:hAnsi="宋体" w:cs="宋体"/>
                <w:lang w:eastAsia="zh-Hans"/>
              </w:rPr>
              <w:t>次</w:t>
            </w:r>
            <w:r>
              <w:rPr>
                <w:rFonts w:hint="eastAsia" w:ascii="宋体" w:hAnsi="宋体" w:cs="宋体"/>
              </w:rPr>
              <w:t>/年</w:t>
            </w:r>
          </w:p>
        </w:tc>
        <w:tc>
          <w:tcPr>
            <w:tcW w:w="526" w:type="pct"/>
            <w:vAlign w:val="center"/>
          </w:tcPr>
          <w:p>
            <w:pPr>
              <w:adjustRightInd w:val="0"/>
              <w:snapToGrid w:val="0"/>
              <w:spacing w:line="400" w:lineRule="exact"/>
              <w:jc w:val="center"/>
              <w:rPr>
                <w:rFonts w:hint="eastAsia" w:ascii="宋体" w:hAnsi="宋体" w:cs="宋体"/>
                <w:i/>
                <w:iCs/>
              </w:rPr>
            </w:pPr>
            <w:r>
              <w:rPr>
                <w:rFonts w:hint="eastAsia" w:ascii="宋体" w:hAnsi="宋体" w:cs="宋体"/>
                <w:i/>
                <w:iCs/>
              </w:rPr>
              <w:t>比选申请人填写</w:t>
            </w:r>
          </w:p>
        </w:tc>
        <w:tc>
          <w:tcPr>
            <w:tcW w:w="367" w:type="pct"/>
            <w:vAlign w:val="center"/>
          </w:tcPr>
          <w:p>
            <w:pPr>
              <w:adjustRightInd w:val="0"/>
              <w:snapToGrid w:val="0"/>
              <w:spacing w:line="400" w:lineRule="exact"/>
              <w:jc w:val="center"/>
              <w:rPr>
                <w:rFonts w:ascii="宋体" w:hAnsi="宋体" w:cs="宋体"/>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1</w:t>
            </w:r>
            <w:r>
              <w:rPr>
                <w:rFonts w:ascii="宋体" w:hAnsi="宋体" w:cs="宋体"/>
              </w:rPr>
              <w:t>1</w:t>
            </w:r>
          </w:p>
        </w:tc>
        <w:tc>
          <w:tcPr>
            <w:tcW w:w="833"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应急响应★</w:t>
            </w:r>
          </w:p>
        </w:tc>
        <w:tc>
          <w:tcPr>
            <w:tcW w:w="2586" w:type="pct"/>
            <w:vAlign w:val="center"/>
          </w:tcPr>
          <w:p>
            <w:pPr>
              <w:adjustRightInd w:val="0"/>
              <w:snapToGrid w:val="0"/>
              <w:spacing w:before="187" w:after="187" w:line="400" w:lineRule="exact"/>
              <w:jc w:val="left"/>
              <w:rPr>
                <w:rFonts w:ascii="宋体" w:hAnsi="宋体" w:cs="宋体"/>
              </w:rPr>
            </w:pPr>
            <w:r>
              <w:rPr>
                <w:rFonts w:hint="eastAsia" w:ascii="宋体" w:hAnsi="宋体" w:cs="宋体"/>
              </w:rPr>
              <w:t>针对外部黑客入侵、数据泄露、木马病毒等突发安全事件时，进行应急响应处理，避免事态恶化。遇到遭遇攻击或网页被篡改等恶性事件，要求1小时内到达现场，实施有效的紧急救援及恢复补救方案。应急响应服务工作完成后，针对此次事件的问题现象、发生原因以及处理过程，预防措施与建议进行总结报告。出具《重咨集团网络安全应急响应报告》。</w:t>
            </w:r>
          </w:p>
        </w:tc>
        <w:tc>
          <w:tcPr>
            <w:tcW w:w="464"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不限次</w:t>
            </w:r>
          </w:p>
        </w:tc>
        <w:tc>
          <w:tcPr>
            <w:tcW w:w="526" w:type="pct"/>
            <w:vAlign w:val="center"/>
          </w:tcPr>
          <w:p>
            <w:pPr>
              <w:adjustRightInd w:val="0"/>
              <w:snapToGrid w:val="0"/>
              <w:spacing w:line="400" w:lineRule="exact"/>
              <w:jc w:val="center"/>
              <w:rPr>
                <w:rFonts w:hint="eastAsia" w:ascii="宋体" w:hAnsi="宋体" w:cs="宋体"/>
                <w:i/>
                <w:iCs/>
              </w:rPr>
            </w:pPr>
            <w:r>
              <w:rPr>
                <w:rFonts w:hint="eastAsia" w:ascii="宋体" w:hAnsi="宋体" w:cs="宋体"/>
                <w:i/>
                <w:iCs/>
              </w:rPr>
              <w:t>比选申请人填写</w:t>
            </w:r>
          </w:p>
        </w:tc>
        <w:tc>
          <w:tcPr>
            <w:tcW w:w="367" w:type="pct"/>
            <w:vAlign w:val="center"/>
          </w:tcPr>
          <w:p>
            <w:pPr>
              <w:adjustRightInd w:val="0"/>
              <w:snapToGrid w:val="0"/>
              <w:spacing w:line="400" w:lineRule="exact"/>
              <w:jc w:val="center"/>
              <w:rPr>
                <w:rFonts w:ascii="宋体" w:hAnsi="宋体" w:cs="宋体"/>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1</w:t>
            </w:r>
            <w:r>
              <w:rPr>
                <w:rFonts w:ascii="宋体" w:hAnsi="宋体" w:cs="宋体"/>
              </w:rPr>
              <w:t>2</w:t>
            </w:r>
          </w:p>
        </w:tc>
        <w:tc>
          <w:tcPr>
            <w:tcW w:w="833"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安全检查服务★</w:t>
            </w:r>
          </w:p>
        </w:tc>
        <w:tc>
          <w:tcPr>
            <w:tcW w:w="2586" w:type="pct"/>
            <w:vAlign w:val="center"/>
          </w:tcPr>
          <w:p>
            <w:pPr>
              <w:adjustRightInd w:val="0"/>
              <w:snapToGrid w:val="0"/>
              <w:spacing w:before="187" w:after="187" w:line="400" w:lineRule="exact"/>
              <w:jc w:val="left"/>
              <w:rPr>
                <w:rFonts w:ascii="宋体" w:hAnsi="宋体" w:cs="宋体"/>
              </w:rPr>
            </w:pPr>
            <w:r>
              <w:rPr>
                <w:rFonts w:hint="eastAsia" w:ascii="宋体" w:hAnsi="宋体" w:cs="宋体"/>
              </w:rPr>
              <w:t>在接受网络安全主管部门检查或上级部门开展网络安全检查期间的自查、差距分析、整改及陪同检查服务、相关工作配合服务。</w:t>
            </w:r>
          </w:p>
        </w:tc>
        <w:tc>
          <w:tcPr>
            <w:tcW w:w="464"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不限次</w:t>
            </w:r>
          </w:p>
        </w:tc>
        <w:tc>
          <w:tcPr>
            <w:tcW w:w="526" w:type="pct"/>
            <w:vAlign w:val="center"/>
          </w:tcPr>
          <w:p>
            <w:pPr>
              <w:adjustRightInd w:val="0"/>
              <w:snapToGrid w:val="0"/>
              <w:spacing w:line="400" w:lineRule="exact"/>
              <w:jc w:val="center"/>
              <w:rPr>
                <w:rFonts w:hint="eastAsia" w:ascii="宋体" w:hAnsi="宋体" w:cs="宋体"/>
                <w:i/>
                <w:iCs/>
              </w:rPr>
            </w:pPr>
            <w:r>
              <w:rPr>
                <w:rFonts w:hint="eastAsia" w:ascii="宋体" w:hAnsi="宋体" w:cs="宋体"/>
                <w:i/>
                <w:iCs/>
              </w:rPr>
              <w:t>比选申请人填写</w:t>
            </w:r>
          </w:p>
        </w:tc>
        <w:tc>
          <w:tcPr>
            <w:tcW w:w="367" w:type="pct"/>
            <w:vAlign w:val="center"/>
          </w:tcPr>
          <w:p>
            <w:pPr>
              <w:adjustRightInd w:val="0"/>
              <w:snapToGrid w:val="0"/>
              <w:spacing w:line="400" w:lineRule="exact"/>
              <w:jc w:val="center"/>
              <w:rPr>
                <w:rFonts w:ascii="宋体" w:hAnsi="宋体" w:cs="宋体"/>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pPr>
              <w:adjustRightInd w:val="0"/>
              <w:snapToGrid w:val="0"/>
              <w:spacing w:before="187" w:after="187" w:line="400" w:lineRule="exact"/>
              <w:jc w:val="center"/>
              <w:rPr>
                <w:rFonts w:ascii="宋体" w:hAnsi="宋体" w:cs="宋体"/>
              </w:rPr>
            </w:pPr>
            <w:r>
              <w:rPr>
                <w:rFonts w:ascii="宋体" w:hAnsi="宋体" w:cs="宋体"/>
              </w:rPr>
              <w:t>13</w:t>
            </w:r>
          </w:p>
        </w:tc>
        <w:tc>
          <w:tcPr>
            <w:tcW w:w="833"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网络与信息安全专业人员驻场服务★</w:t>
            </w:r>
          </w:p>
        </w:tc>
        <w:tc>
          <w:tcPr>
            <w:tcW w:w="2586" w:type="pct"/>
            <w:vAlign w:val="center"/>
          </w:tcPr>
          <w:p>
            <w:pPr>
              <w:adjustRightInd w:val="0"/>
              <w:snapToGrid w:val="0"/>
              <w:spacing w:before="187" w:after="187" w:line="400" w:lineRule="exact"/>
              <w:jc w:val="left"/>
            </w:pPr>
            <w:r>
              <w:rPr>
                <w:rFonts w:hint="eastAsia" w:ascii="宋体" w:hAnsi="宋体" w:cs="宋体"/>
              </w:rPr>
              <w:t>派遣</w:t>
            </w:r>
            <w:r>
              <w:rPr>
                <w:rFonts w:ascii="宋体" w:hAnsi="宋体" w:cs="宋体"/>
              </w:rPr>
              <w:t>1</w:t>
            </w:r>
            <w:r>
              <w:rPr>
                <w:rFonts w:hint="eastAsia" w:ascii="宋体" w:hAnsi="宋体" w:cs="宋体"/>
              </w:rPr>
              <w:t>位具有多年网络与信息安全行业工作经历的</w:t>
            </w:r>
            <w:r>
              <w:rPr>
                <w:rFonts w:hint="eastAsia"/>
              </w:rPr>
              <w:t>安全服务工程师</w:t>
            </w:r>
            <w:r>
              <w:rPr>
                <w:rFonts w:hint="eastAsia" w:ascii="宋体" w:hAnsi="宋体" w:cs="宋体"/>
              </w:rPr>
              <w:t>驻场服务，协助重咨集团开展网络安全、数据安全等相关工作。驻场服务人员需全日制本科及以上学历，安全或计算机相关专业，相关行业工作一年以上，具有网络信息安全相关证书（</w:t>
            </w:r>
            <w:r>
              <w:rPr>
                <w:rFonts w:ascii="宋体" w:hAnsi="宋体" w:cs="宋体"/>
              </w:rPr>
              <w:t>CISP</w:t>
            </w:r>
            <w:r>
              <w:rPr>
                <w:rFonts w:hint="eastAsia" w:ascii="宋体" w:hAnsi="宋体" w:cs="宋体"/>
              </w:rPr>
              <w:t>或</w:t>
            </w:r>
            <w:r>
              <w:rPr>
                <w:rFonts w:ascii="宋体" w:hAnsi="宋体" w:cs="宋体"/>
              </w:rPr>
              <w:t>CISAW</w:t>
            </w:r>
            <w:r>
              <w:rPr>
                <w:rFonts w:hint="eastAsia" w:ascii="宋体" w:hAnsi="宋体" w:cs="宋体"/>
              </w:rPr>
              <w:t>或</w:t>
            </w:r>
            <w:r>
              <w:rPr>
                <w:rFonts w:ascii="宋体" w:hAnsi="宋体" w:cs="宋体"/>
              </w:rPr>
              <w:t>CISSP</w:t>
            </w:r>
            <w:r>
              <w:rPr>
                <w:rFonts w:hint="eastAsia" w:ascii="宋体" w:hAnsi="宋体" w:cs="宋体"/>
              </w:rPr>
              <w:t>），具有相关工作能力。</w:t>
            </w:r>
            <w:r>
              <w:rPr>
                <w:rFonts w:hint="eastAsia"/>
              </w:rPr>
              <w:t>能对集团现有网信数安和商用密码安全性等相关管理制度文件进行修订、完善，并建立一套合规、全面并且符合集团组织机构的安全管理制度体系文件。能结合集团现有业务系统、网络架构、网络和安全策略以及日志进行分析和评估，能找出安全薄弱点，提出符合重咨集团安全需求的网络策略优化建议，并推进网络设备厂商或运维方优化实施。驻场人员工作时间按采购人正常上班时间执行，如遇特殊重大保障，按采购人安排开展工作。根据采购人安排完成相关工作。</w:t>
            </w:r>
            <w:r>
              <w:rPr>
                <w:rFonts w:hint="eastAsia" w:ascii="宋体" w:hAnsi="宋体" w:cs="宋体"/>
              </w:rPr>
              <w:t>在服务期内未经采购人同意，驻场人员不得从事与采购人要求的服务内容无关的其他工作或比选申请人随意更换驻场人员。</w:t>
            </w:r>
          </w:p>
        </w:tc>
        <w:tc>
          <w:tcPr>
            <w:tcW w:w="464"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1人/年</w:t>
            </w:r>
          </w:p>
        </w:tc>
        <w:tc>
          <w:tcPr>
            <w:tcW w:w="526" w:type="pct"/>
            <w:vAlign w:val="center"/>
          </w:tcPr>
          <w:p>
            <w:pPr>
              <w:adjustRightInd w:val="0"/>
              <w:snapToGrid w:val="0"/>
              <w:spacing w:line="400" w:lineRule="exact"/>
              <w:jc w:val="center"/>
              <w:rPr>
                <w:rFonts w:hint="eastAsia" w:ascii="宋体" w:hAnsi="宋体" w:cs="宋体"/>
                <w:i/>
                <w:iCs/>
              </w:rPr>
            </w:pPr>
            <w:r>
              <w:rPr>
                <w:rFonts w:hint="eastAsia" w:ascii="宋体" w:hAnsi="宋体" w:cs="宋体"/>
                <w:i/>
                <w:iCs/>
              </w:rPr>
              <w:t>比选申请人填写</w:t>
            </w:r>
          </w:p>
        </w:tc>
        <w:tc>
          <w:tcPr>
            <w:tcW w:w="367" w:type="pct"/>
            <w:vAlign w:val="center"/>
          </w:tcPr>
          <w:p>
            <w:pPr>
              <w:adjustRightInd w:val="0"/>
              <w:snapToGrid w:val="0"/>
              <w:spacing w:line="400" w:lineRule="exact"/>
              <w:jc w:val="center"/>
              <w:rPr>
                <w:rFonts w:ascii="宋体" w:hAnsi="宋体" w:cs="宋体"/>
                <w:i/>
                <w:iCs/>
              </w:rPr>
            </w:pPr>
          </w:p>
        </w:tc>
      </w:tr>
    </w:tbl>
    <w:p>
      <w:pPr>
        <w:rPr>
          <w:szCs w:val="24"/>
        </w:rPr>
      </w:pPr>
      <w:r>
        <w:rPr>
          <w:rFonts w:hint="eastAsia"/>
          <w:sz w:val="24"/>
          <w:szCs w:val="24"/>
        </w:rPr>
        <w:t>注：“响应</w:t>
      </w:r>
      <w:r>
        <w:rPr>
          <w:sz w:val="24"/>
          <w:szCs w:val="24"/>
        </w:rPr>
        <w:t>/偏离”栏中，如比选申请人技术响应内容与比选文件服务需求有所差异，则在该栏中说明差异之处。如无差异则填写“响应”。</w:t>
      </w:r>
    </w:p>
    <w:p>
      <w:pPr>
        <w:pStyle w:val="3"/>
      </w:pPr>
    </w:p>
    <w:p>
      <w:pPr>
        <w:tabs>
          <w:tab w:val="left" w:pos="8300"/>
        </w:tabs>
        <w:autoSpaceDE w:val="0"/>
        <w:autoSpaceDN w:val="0"/>
        <w:adjustRightInd w:val="0"/>
        <w:snapToGrid w:val="0"/>
        <w:spacing w:line="520" w:lineRule="exact"/>
        <w:ind w:right="-20" w:firstLine="3570" w:firstLineChars="1700"/>
        <w:jc w:val="center"/>
        <w:rPr>
          <w:rFonts w:ascii="宋体" w:hAnsi="宋体" w:cs="MingLiU"/>
          <w:snapToGrid w:val="0"/>
          <w:u w:val="single"/>
        </w:rPr>
      </w:pPr>
      <w:r>
        <w:rPr>
          <w:rFonts w:hint="eastAsia" w:ascii="宋体" w:hAnsi="宋体" w:cs="MingLiU"/>
          <w:snapToGrid w:val="0"/>
          <w:u w:val="single"/>
        </w:rPr>
        <w:t xml:space="preserve">比选申请人：（盖章）         </w:t>
      </w:r>
    </w:p>
    <w:p>
      <w:pPr>
        <w:tabs>
          <w:tab w:val="left" w:pos="8300"/>
        </w:tabs>
        <w:autoSpaceDE w:val="0"/>
        <w:autoSpaceDN w:val="0"/>
        <w:adjustRightInd w:val="0"/>
        <w:snapToGrid w:val="0"/>
        <w:spacing w:line="520" w:lineRule="exact"/>
        <w:ind w:right="-20" w:firstLine="3150" w:firstLineChars="1500"/>
        <w:jc w:val="center"/>
        <w:rPr>
          <w:rFonts w:ascii="宋体" w:hAnsi="宋体" w:cs="MingLiU"/>
          <w:snapToGrid w:val="0"/>
          <w:u w:val="single"/>
        </w:rPr>
      </w:pPr>
      <w:r>
        <w:rPr>
          <w:rFonts w:hint="eastAsia" w:ascii="宋体" w:hAnsi="宋体" w:cs="MingLiU"/>
          <w:snapToGrid w:val="0"/>
          <w:u w:val="single"/>
        </w:rPr>
        <w:t xml:space="preserve">法定代表人或授权代表签字：（签名或盖章）  </w:t>
      </w:r>
    </w:p>
    <w:p>
      <w:pPr>
        <w:spacing w:line="520" w:lineRule="exact"/>
        <w:ind w:firstLine="5670" w:firstLineChars="2700"/>
        <w:jc w:val="center"/>
        <w:rPr>
          <w:rFonts w:ascii="宋体" w:hAnsi="宋体" w:cs="MingLiU"/>
          <w:snapToGrid w:val="0"/>
          <w:u w:val="single"/>
        </w:rPr>
      </w:pPr>
      <w:r>
        <w:rPr>
          <w:rFonts w:hint="eastAsia" w:ascii="宋体" w:hAnsi="宋体" w:cs="MingLiU"/>
          <w:snapToGrid w:val="0"/>
          <w:u w:val="single"/>
        </w:rPr>
        <w:t xml:space="preserve">     年   月   日</w:t>
      </w:r>
    </w:p>
    <w:p/>
    <w:p>
      <w:pPr>
        <w:pStyle w:val="3"/>
      </w:pPr>
    </w:p>
    <w:p>
      <w:pPr>
        <w:sectPr>
          <w:pgSz w:w="16838" w:h="11906" w:orient="landscape"/>
          <w:pgMar w:top="1134" w:right="1276" w:bottom="1162" w:left="1135" w:header="851" w:footer="992" w:gutter="0"/>
          <w:pgNumType w:start="1"/>
          <w:cols w:space="720" w:num="1"/>
          <w:titlePg/>
          <w:docGrid w:type="lines" w:linePitch="312" w:charSpace="0"/>
        </w:sectPr>
      </w:pPr>
    </w:p>
    <w:p>
      <w:pPr>
        <w:pStyle w:val="2"/>
        <w:ind w:firstLine="0"/>
      </w:pPr>
    </w:p>
    <w:p>
      <w:pPr>
        <w:spacing w:line="360" w:lineRule="auto"/>
        <w:ind w:firstLine="472" w:firstLineChars="224"/>
        <w:jc w:val="center"/>
        <w:outlineLvl w:val="1"/>
        <w:rPr>
          <w:rFonts w:ascii="宋体"/>
          <w:b/>
          <w:bCs/>
        </w:rPr>
      </w:pPr>
      <w:bookmarkStart w:id="55" w:name="_Toc120633487"/>
      <w:bookmarkStart w:id="56" w:name="_Toc14571"/>
      <w:bookmarkStart w:id="57" w:name="_Toc13388"/>
      <w:r>
        <w:rPr>
          <w:rFonts w:hint="eastAsia" w:ascii="宋体" w:hAnsi="宋体" w:cs="宋体"/>
          <w:b/>
          <w:bCs/>
        </w:rPr>
        <w:t>法定代表人授权委托书</w:t>
      </w:r>
      <w:bookmarkEnd w:id="54"/>
      <w:bookmarkEnd w:id="55"/>
      <w:bookmarkEnd w:id="56"/>
      <w:bookmarkEnd w:id="57"/>
    </w:p>
    <w:p>
      <w:pPr>
        <w:spacing w:line="360" w:lineRule="auto"/>
        <w:ind w:firstLine="470" w:firstLineChars="224"/>
        <w:rPr>
          <w:rFonts w:ascii="宋体"/>
        </w:rPr>
      </w:pPr>
    </w:p>
    <w:p>
      <w:pPr>
        <w:pStyle w:val="14"/>
        <w:spacing w:line="360" w:lineRule="auto"/>
        <w:ind w:left="0" w:leftChars="0" w:firstLine="470" w:firstLineChars="224"/>
        <w:rPr>
          <w:rFonts w:ascii="宋体"/>
        </w:rPr>
      </w:pPr>
      <w:r>
        <w:rPr>
          <w:rFonts w:hint="eastAsia" w:ascii="宋体" w:hAnsi="宋体" w:cs="宋体"/>
        </w:rPr>
        <w:t>本授权委托书声明：我（姓名）系（参选单位名称）的法定代表人，现授权委托（单位名称）的（姓名）为我公司唯一代理人，以本公司的名义参加（比选人名称、项目名称）的比选活动。代理人在竞争性比选、合同签订过程中所签署的一切文件和处理与之有关的一切事务，我均予以承认。</w:t>
      </w:r>
    </w:p>
    <w:p>
      <w:pPr>
        <w:pStyle w:val="14"/>
        <w:spacing w:line="360" w:lineRule="auto"/>
        <w:ind w:left="0" w:leftChars="0" w:firstLine="470" w:firstLineChars="224"/>
        <w:rPr>
          <w:rFonts w:ascii="宋体"/>
        </w:rPr>
      </w:pPr>
      <w:r>
        <w:rPr>
          <w:rFonts w:hint="eastAsia" w:ascii="宋体" w:hAnsi="宋体" w:cs="宋体"/>
        </w:rPr>
        <w:t>代理人无转委权。特此委托。</w:t>
      </w:r>
    </w:p>
    <w:p>
      <w:pPr>
        <w:pStyle w:val="14"/>
        <w:spacing w:line="360" w:lineRule="auto"/>
        <w:ind w:left="0" w:leftChars="0" w:firstLine="470" w:firstLineChars="224"/>
        <w:rPr>
          <w:rFonts w:ascii="宋体"/>
        </w:rPr>
      </w:pPr>
      <w:r>
        <w:rPr>
          <w:rFonts w:hint="eastAsia" w:ascii="宋体" w:hAnsi="宋体" w:cs="宋体"/>
        </w:rPr>
        <w:t>（附法定代表人身份证明）</w:t>
      </w:r>
    </w:p>
    <w:p>
      <w:pPr>
        <w:pStyle w:val="3"/>
        <w:spacing w:line="360" w:lineRule="auto"/>
        <w:ind w:firstLine="470" w:firstLineChars="224"/>
        <w:rPr>
          <w:rFonts w:cs="Times New Roman"/>
          <w:sz w:val="21"/>
          <w:szCs w:val="21"/>
        </w:rPr>
      </w:pPr>
    </w:p>
    <w:p>
      <w:pPr>
        <w:pStyle w:val="3"/>
        <w:spacing w:line="360" w:lineRule="auto"/>
        <w:ind w:firstLine="470" w:firstLineChars="224"/>
        <w:rPr>
          <w:rFonts w:cs="Times New Roman"/>
          <w:sz w:val="21"/>
          <w:szCs w:val="21"/>
        </w:rPr>
      </w:pPr>
      <w:r>
        <w:rPr>
          <w:rFonts w:hint="eastAsia"/>
          <w:sz w:val="21"/>
          <w:szCs w:val="21"/>
        </w:rPr>
        <w:t>代理人：性别：年龄：</w:t>
      </w:r>
    </w:p>
    <w:p>
      <w:pPr>
        <w:pStyle w:val="3"/>
        <w:spacing w:line="360" w:lineRule="auto"/>
        <w:ind w:firstLine="470" w:firstLineChars="224"/>
        <w:rPr>
          <w:rFonts w:cs="Times New Roman"/>
          <w:sz w:val="21"/>
          <w:szCs w:val="21"/>
        </w:rPr>
      </w:pPr>
    </w:p>
    <w:p>
      <w:pPr>
        <w:pStyle w:val="3"/>
        <w:spacing w:line="360" w:lineRule="auto"/>
        <w:ind w:firstLine="470" w:firstLineChars="224"/>
        <w:rPr>
          <w:rFonts w:cs="Times New Roman"/>
          <w:sz w:val="21"/>
          <w:szCs w:val="21"/>
        </w:rPr>
      </w:pPr>
      <w:r>
        <w:rPr>
          <w:rFonts w:hint="eastAsia"/>
          <w:sz w:val="21"/>
          <w:szCs w:val="21"/>
        </w:rPr>
        <w:t>单位：部门：职务：</w:t>
      </w:r>
    </w:p>
    <w:p>
      <w:pPr>
        <w:pStyle w:val="3"/>
        <w:spacing w:line="360" w:lineRule="auto"/>
        <w:ind w:firstLine="470" w:firstLineChars="224"/>
        <w:rPr>
          <w:rFonts w:cs="Times New Roman"/>
          <w:sz w:val="21"/>
          <w:szCs w:val="21"/>
        </w:rPr>
      </w:pPr>
    </w:p>
    <w:p>
      <w:pPr>
        <w:pStyle w:val="3"/>
        <w:spacing w:line="360" w:lineRule="auto"/>
        <w:ind w:firstLine="470" w:firstLineChars="224"/>
        <w:rPr>
          <w:rFonts w:cs="Times New Roman"/>
          <w:sz w:val="21"/>
          <w:szCs w:val="21"/>
        </w:rPr>
      </w:pPr>
      <w:r>
        <w:rPr>
          <w:rFonts w:hint="eastAsia"/>
          <w:sz w:val="21"/>
          <w:szCs w:val="21"/>
        </w:rPr>
        <w:t>比选申请人：（盖章）</w:t>
      </w:r>
    </w:p>
    <w:p>
      <w:pPr>
        <w:pStyle w:val="3"/>
        <w:spacing w:line="360" w:lineRule="auto"/>
        <w:ind w:firstLine="470" w:firstLineChars="224"/>
        <w:rPr>
          <w:rFonts w:cs="Times New Roman"/>
          <w:sz w:val="21"/>
          <w:szCs w:val="21"/>
        </w:rPr>
      </w:pPr>
    </w:p>
    <w:p>
      <w:pPr>
        <w:pStyle w:val="3"/>
        <w:spacing w:line="360" w:lineRule="auto"/>
        <w:ind w:firstLine="470" w:firstLineChars="224"/>
        <w:rPr>
          <w:rFonts w:cs="Times New Roman"/>
          <w:sz w:val="21"/>
          <w:szCs w:val="21"/>
        </w:rPr>
      </w:pPr>
      <w:r>
        <w:rPr>
          <w:rFonts w:hint="eastAsia"/>
          <w:sz w:val="21"/>
          <w:szCs w:val="21"/>
        </w:rPr>
        <w:t>法定代表人：（签名或盖章）</w:t>
      </w:r>
    </w:p>
    <w:p>
      <w:pPr>
        <w:pStyle w:val="54"/>
        <w:spacing w:beforeLines="0" w:afterLines="0" w:line="360" w:lineRule="auto"/>
        <w:ind w:firstLine="470" w:firstLineChars="224"/>
        <w:rPr>
          <w:rFonts w:ascii="宋体" w:hAnsi="宋体" w:eastAsia="宋体"/>
          <w:sz w:val="21"/>
          <w:szCs w:val="21"/>
        </w:rPr>
      </w:pPr>
    </w:p>
    <w:p>
      <w:pPr>
        <w:pStyle w:val="54"/>
        <w:spacing w:beforeLines="0" w:afterLines="0" w:line="360" w:lineRule="auto"/>
        <w:ind w:right="480" w:firstLine="470" w:firstLineChars="224"/>
        <w:jc w:val="right"/>
        <w:rPr>
          <w:rFonts w:ascii="宋体" w:hAnsi="宋体" w:eastAsia="宋体"/>
          <w:sz w:val="21"/>
          <w:szCs w:val="21"/>
        </w:rPr>
      </w:pPr>
      <w:r>
        <w:rPr>
          <w:rFonts w:hint="eastAsia" w:ascii="宋体" w:hAnsi="宋体" w:eastAsia="宋体" w:cs="宋体"/>
          <w:sz w:val="21"/>
          <w:szCs w:val="21"/>
        </w:rPr>
        <w:t>日期：年月日</w:t>
      </w:r>
    </w:p>
    <w:p>
      <w:pPr>
        <w:spacing w:line="360" w:lineRule="auto"/>
        <w:rPr>
          <w:rFonts w:ascii="宋体"/>
        </w:rPr>
      </w:pPr>
    </w:p>
    <w:p>
      <w:pPr>
        <w:spacing w:line="360" w:lineRule="auto"/>
        <w:ind w:firstLine="470" w:firstLineChars="224"/>
        <w:rPr>
          <w:rFonts w:ascii="宋体"/>
        </w:rPr>
      </w:pPr>
      <w:r>
        <w:rPr>
          <w:rFonts w:hint="eastAsia" w:ascii="宋体" w:hAnsi="宋体" w:cs="宋体"/>
        </w:rPr>
        <w:t>（该处粘贴代理人身份证复印件）</w:t>
      </w:r>
    </w:p>
    <w:p>
      <w:pPr>
        <w:spacing w:line="360" w:lineRule="auto"/>
        <w:ind w:firstLine="472" w:firstLineChars="224"/>
        <w:jc w:val="center"/>
        <w:rPr>
          <w:rFonts w:ascii="宋体"/>
          <w:b/>
          <w:bCs/>
        </w:rPr>
      </w:pPr>
    </w:p>
    <w:p>
      <w:pPr>
        <w:spacing w:line="360" w:lineRule="auto"/>
        <w:jc w:val="center"/>
        <w:outlineLvl w:val="1"/>
        <w:rPr>
          <w:rFonts w:ascii="宋体"/>
          <w:b/>
          <w:bCs/>
        </w:rPr>
      </w:pPr>
      <w:r>
        <w:rPr>
          <w:rFonts w:ascii="宋体"/>
          <w:b/>
          <w:bCs/>
        </w:rPr>
        <w:br w:type="page"/>
      </w:r>
      <w:bookmarkStart w:id="58" w:name="_Toc13788"/>
      <w:bookmarkStart w:id="59" w:name="_Toc120633488"/>
      <w:bookmarkStart w:id="60" w:name="_Toc11989"/>
      <w:r>
        <w:rPr>
          <w:rFonts w:hint="eastAsia" w:ascii="宋体" w:hAnsi="宋体" w:cs="宋体"/>
          <w:b/>
          <w:bCs/>
        </w:rPr>
        <w:t>法定代表人身份证明</w:t>
      </w:r>
      <w:bookmarkEnd w:id="58"/>
      <w:bookmarkEnd w:id="59"/>
      <w:bookmarkEnd w:id="60"/>
    </w:p>
    <w:p>
      <w:pPr>
        <w:spacing w:line="360" w:lineRule="auto"/>
        <w:ind w:left="765"/>
        <w:rPr>
          <w:rFonts w:ascii="宋体"/>
        </w:rPr>
      </w:pPr>
    </w:p>
    <w:p>
      <w:pPr>
        <w:tabs>
          <w:tab w:val="left" w:pos="5565"/>
        </w:tabs>
        <w:autoSpaceDE w:val="0"/>
        <w:autoSpaceDN w:val="0"/>
        <w:adjustRightInd w:val="0"/>
        <w:snapToGrid w:val="0"/>
        <w:spacing w:line="360" w:lineRule="auto"/>
        <w:ind w:firstLine="390" w:firstLineChars="186"/>
        <w:jc w:val="left"/>
        <w:rPr>
          <w:rFonts w:ascii="宋体"/>
          <w:kern w:val="0"/>
        </w:rPr>
      </w:pPr>
      <w:r>
        <w:rPr>
          <w:rFonts w:hint="eastAsia" w:ascii="宋体" w:hAnsi="宋体" w:cs="宋体"/>
          <w:kern w:val="0"/>
        </w:rPr>
        <w:t>比选申请人名称：</w:t>
      </w:r>
      <w:r>
        <w:rPr>
          <w:rFonts w:ascii="宋体"/>
          <w:kern w:val="0"/>
          <w:u w:val="single"/>
        </w:rPr>
        <w:tab/>
      </w:r>
    </w:p>
    <w:p>
      <w:pPr>
        <w:tabs>
          <w:tab w:val="left" w:pos="5475"/>
        </w:tabs>
        <w:autoSpaceDE w:val="0"/>
        <w:autoSpaceDN w:val="0"/>
        <w:adjustRightInd w:val="0"/>
        <w:snapToGrid w:val="0"/>
        <w:spacing w:line="360" w:lineRule="auto"/>
        <w:ind w:firstLine="390" w:firstLineChars="186"/>
        <w:jc w:val="left"/>
        <w:rPr>
          <w:rFonts w:ascii="宋体"/>
          <w:kern w:val="0"/>
        </w:rPr>
      </w:pPr>
      <w:r>
        <w:rPr>
          <w:rFonts w:hint="eastAsia" w:ascii="宋体" w:hAnsi="宋体" w:cs="宋体"/>
          <w:kern w:val="0"/>
        </w:rPr>
        <w:t>单位性质：</w:t>
      </w:r>
      <w:r>
        <w:rPr>
          <w:rFonts w:ascii="宋体"/>
          <w:kern w:val="0"/>
          <w:u w:val="single"/>
        </w:rPr>
        <w:tab/>
      </w:r>
    </w:p>
    <w:p>
      <w:pPr>
        <w:tabs>
          <w:tab w:val="left" w:pos="5475"/>
        </w:tabs>
        <w:autoSpaceDE w:val="0"/>
        <w:autoSpaceDN w:val="0"/>
        <w:adjustRightInd w:val="0"/>
        <w:snapToGrid w:val="0"/>
        <w:spacing w:line="360" w:lineRule="auto"/>
        <w:ind w:firstLine="390" w:firstLineChars="186"/>
        <w:jc w:val="left"/>
        <w:rPr>
          <w:rFonts w:ascii="宋体"/>
          <w:kern w:val="0"/>
        </w:rPr>
      </w:pPr>
      <w:r>
        <w:rPr>
          <w:rFonts w:hint="eastAsia" w:ascii="宋体" w:hAnsi="宋体" w:cs="宋体"/>
          <w:kern w:val="0"/>
        </w:rPr>
        <w:t>地址：</w:t>
      </w:r>
      <w:r>
        <w:rPr>
          <w:rFonts w:ascii="宋体"/>
          <w:kern w:val="0"/>
          <w:u w:val="single"/>
        </w:rPr>
        <w:tab/>
      </w:r>
    </w:p>
    <w:p>
      <w:pPr>
        <w:tabs>
          <w:tab w:val="left" w:pos="2520"/>
          <w:tab w:val="left" w:pos="3836"/>
        </w:tabs>
        <w:autoSpaceDE w:val="0"/>
        <w:autoSpaceDN w:val="0"/>
        <w:adjustRightInd w:val="0"/>
        <w:snapToGrid w:val="0"/>
        <w:spacing w:line="360" w:lineRule="auto"/>
        <w:ind w:firstLine="390" w:firstLineChars="186"/>
        <w:jc w:val="left"/>
        <w:rPr>
          <w:rFonts w:ascii="宋体"/>
          <w:kern w:val="0"/>
        </w:rPr>
      </w:pPr>
      <w:r>
        <w:rPr>
          <w:rFonts w:hint="eastAsia" w:ascii="宋体" w:hAnsi="宋体" w:cs="宋体"/>
          <w:kern w:val="0"/>
        </w:rPr>
        <w:t>成立时间：</w:t>
      </w:r>
      <w:r>
        <w:rPr>
          <w:rFonts w:ascii="宋体"/>
          <w:kern w:val="0"/>
          <w:u w:val="single"/>
        </w:rPr>
        <w:tab/>
      </w:r>
      <w:r>
        <w:rPr>
          <w:rFonts w:hint="eastAsia" w:ascii="宋体" w:hAnsi="宋体" w:cs="宋体"/>
          <w:spacing w:val="-1"/>
          <w:kern w:val="0"/>
        </w:rPr>
        <w:t>年</w:t>
      </w:r>
      <w:r>
        <w:rPr>
          <w:rFonts w:ascii="宋体"/>
          <w:kern w:val="0"/>
          <w:u w:val="single"/>
        </w:rPr>
        <w:tab/>
      </w:r>
      <w:r>
        <w:rPr>
          <w:rFonts w:hint="eastAsia" w:ascii="宋体" w:hAnsi="宋体" w:cs="宋体"/>
          <w:spacing w:val="-1"/>
          <w:kern w:val="0"/>
        </w:rPr>
        <w:t>月</w:t>
      </w:r>
      <w:r>
        <w:rPr>
          <w:rFonts w:hint="eastAsia" w:ascii="宋体" w:hAnsi="宋体" w:cs="宋体"/>
          <w:kern w:val="0"/>
        </w:rPr>
        <w:t>日</w:t>
      </w:r>
    </w:p>
    <w:p>
      <w:pPr>
        <w:tabs>
          <w:tab w:val="left" w:pos="5475"/>
        </w:tabs>
        <w:autoSpaceDE w:val="0"/>
        <w:autoSpaceDN w:val="0"/>
        <w:adjustRightInd w:val="0"/>
        <w:snapToGrid w:val="0"/>
        <w:spacing w:line="360" w:lineRule="auto"/>
        <w:ind w:firstLine="390" w:firstLineChars="186"/>
        <w:jc w:val="left"/>
        <w:rPr>
          <w:rFonts w:ascii="宋体"/>
          <w:kern w:val="0"/>
        </w:rPr>
      </w:pPr>
      <w:r>
        <w:rPr>
          <w:rFonts w:hint="eastAsia" w:ascii="宋体" w:hAnsi="宋体" w:cs="宋体"/>
          <w:kern w:val="0"/>
        </w:rPr>
        <w:t>经营期限：</w:t>
      </w:r>
      <w:r>
        <w:rPr>
          <w:rFonts w:ascii="宋体"/>
          <w:kern w:val="0"/>
          <w:u w:val="single"/>
        </w:rPr>
        <w:tab/>
      </w:r>
    </w:p>
    <w:p>
      <w:pPr>
        <w:tabs>
          <w:tab w:val="left" w:pos="1580"/>
          <w:tab w:val="left" w:pos="3260"/>
          <w:tab w:val="left" w:pos="4840"/>
          <w:tab w:val="left" w:pos="6300"/>
        </w:tabs>
        <w:autoSpaceDE w:val="0"/>
        <w:autoSpaceDN w:val="0"/>
        <w:adjustRightInd w:val="0"/>
        <w:snapToGrid w:val="0"/>
        <w:spacing w:line="360" w:lineRule="auto"/>
        <w:ind w:firstLine="390" w:firstLineChars="186"/>
        <w:jc w:val="left"/>
        <w:rPr>
          <w:rFonts w:ascii="宋体"/>
          <w:kern w:val="0"/>
        </w:rPr>
      </w:pPr>
      <w:r>
        <w:rPr>
          <w:rFonts w:hint="eastAsia" w:ascii="宋体" w:hAnsi="宋体" w:cs="宋体"/>
          <w:kern w:val="0"/>
        </w:rPr>
        <w:t>姓名：</w:t>
      </w:r>
      <w:r>
        <w:rPr>
          <w:rFonts w:ascii="宋体"/>
          <w:kern w:val="0"/>
          <w:u w:val="single"/>
        </w:rPr>
        <w:tab/>
      </w:r>
      <w:r>
        <w:rPr>
          <w:rFonts w:hint="eastAsia" w:ascii="宋体" w:hAnsi="宋体" w:cs="宋体"/>
          <w:kern w:val="0"/>
        </w:rPr>
        <w:t>性别</w:t>
      </w:r>
      <w:r>
        <w:rPr>
          <w:rFonts w:hint="eastAsia" w:ascii="宋体" w:hAnsi="宋体" w:cs="宋体"/>
          <w:spacing w:val="-1"/>
          <w:kern w:val="0"/>
        </w:rPr>
        <w:t>：</w:t>
      </w:r>
      <w:r>
        <w:rPr>
          <w:rFonts w:ascii="宋体"/>
          <w:kern w:val="0"/>
          <w:u w:val="single"/>
        </w:rPr>
        <w:tab/>
      </w:r>
      <w:r>
        <w:rPr>
          <w:rFonts w:hint="eastAsia" w:ascii="宋体" w:hAnsi="宋体" w:cs="宋体"/>
          <w:spacing w:val="-1"/>
          <w:kern w:val="0"/>
        </w:rPr>
        <w:t>年</w:t>
      </w:r>
      <w:r>
        <w:rPr>
          <w:rFonts w:hint="eastAsia" w:ascii="宋体" w:hAnsi="宋体" w:cs="宋体"/>
          <w:kern w:val="0"/>
        </w:rPr>
        <w:t>龄：</w:t>
      </w:r>
      <w:r>
        <w:rPr>
          <w:rFonts w:ascii="宋体"/>
          <w:kern w:val="0"/>
          <w:u w:val="single"/>
        </w:rPr>
        <w:tab/>
      </w:r>
      <w:r>
        <w:rPr>
          <w:rFonts w:hint="eastAsia" w:ascii="宋体" w:hAnsi="宋体" w:cs="宋体"/>
          <w:kern w:val="0"/>
        </w:rPr>
        <w:t>职务：</w:t>
      </w:r>
      <w:r>
        <w:rPr>
          <w:rFonts w:ascii="宋体"/>
          <w:kern w:val="0"/>
          <w:u w:val="single"/>
        </w:rPr>
        <w:tab/>
      </w:r>
    </w:p>
    <w:p>
      <w:pPr>
        <w:tabs>
          <w:tab w:val="left" w:pos="3360"/>
        </w:tabs>
        <w:autoSpaceDE w:val="0"/>
        <w:autoSpaceDN w:val="0"/>
        <w:adjustRightInd w:val="0"/>
        <w:snapToGrid w:val="0"/>
        <w:spacing w:line="360" w:lineRule="auto"/>
        <w:ind w:firstLine="390" w:firstLineChars="186"/>
        <w:jc w:val="left"/>
        <w:rPr>
          <w:rFonts w:ascii="宋体"/>
          <w:kern w:val="0"/>
        </w:rPr>
      </w:pPr>
      <w:r>
        <w:rPr>
          <w:rFonts w:hint="eastAsia" w:ascii="宋体" w:hAnsi="宋体" w:cs="宋体"/>
          <w:kern w:val="0"/>
        </w:rPr>
        <w:t>系</w:t>
      </w:r>
      <w:r>
        <w:rPr>
          <w:rFonts w:ascii="宋体"/>
          <w:kern w:val="0"/>
          <w:u w:val="single"/>
        </w:rPr>
        <w:tab/>
      </w:r>
      <w:r>
        <w:rPr>
          <w:rFonts w:hint="eastAsia" w:ascii="宋体" w:hAnsi="宋体" w:cs="宋体"/>
          <w:kern w:val="0"/>
        </w:rPr>
        <w:t>（比选申请人名称）的法定代表人。</w:t>
      </w:r>
    </w:p>
    <w:p>
      <w:pPr>
        <w:autoSpaceDE w:val="0"/>
        <w:autoSpaceDN w:val="0"/>
        <w:adjustRightInd w:val="0"/>
        <w:snapToGrid w:val="0"/>
        <w:spacing w:line="360" w:lineRule="auto"/>
        <w:ind w:firstLine="390" w:firstLineChars="186"/>
        <w:jc w:val="left"/>
        <w:rPr>
          <w:rFonts w:ascii="宋体"/>
          <w:kern w:val="0"/>
        </w:rPr>
      </w:pPr>
    </w:p>
    <w:p>
      <w:pPr>
        <w:autoSpaceDE w:val="0"/>
        <w:autoSpaceDN w:val="0"/>
        <w:adjustRightInd w:val="0"/>
        <w:snapToGrid w:val="0"/>
        <w:spacing w:line="360" w:lineRule="auto"/>
        <w:ind w:firstLine="810" w:firstLineChars="386"/>
        <w:jc w:val="left"/>
        <w:rPr>
          <w:rFonts w:ascii="宋体"/>
          <w:kern w:val="0"/>
        </w:rPr>
      </w:pPr>
      <w:r>
        <w:rPr>
          <w:rFonts w:hint="eastAsia" w:ascii="宋体" w:hAnsi="宋体" w:cs="宋体"/>
          <w:kern w:val="0"/>
        </w:rPr>
        <w:t>特此证明。</w:t>
      </w:r>
    </w:p>
    <w:p>
      <w:pPr>
        <w:autoSpaceDE w:val="0"/>
        <w:autoSpaceDN w:val="0"/>
        <w:adjustRightInd w:val="0"/>
        <w:snapToGrid w:val="0"/>
        <w:spacing w:line="360" w:lineRule="auto"/>
        <w:jc w:val="left"/>
        <w:rPr>
          <w:rFonts w:ascii="宋体"/>
          <w:kern w:val="0"/>
        </w:rPr>
      </w:pPr>
    </w:p>
    <w:p>
      <w:pPr>
        <w:tabs>
          <w:tab w:val="left" w:pos="5460"/>
        </w:tabs>
        <w:autoSpaceDE w:val="0"/>
        <w:autoSpaceDN w:val="0"/>
        <w:adjustRightInd w:val="0"/>
        <w:snapToGrid w:val="0"/>
        <w:spacing w:line="360" w:lineRule="auto"/>
        <w:ind w:firstLine="2100"/>
        <w:jc w:val="left"/>
        <w:rPr>
          <w:rFonts w:ascii="宋体"/>
          <w:kern w:val="0"/>
        </w:rPr>
      </w:pPr>
      <w:r>
        <w:rPr>
          <w:rFonts w:hint="eastAsia" w:ascii="宋体" w:hAnsi="宋体" w:cs="宋体"/>
          <w:kern w:val="0"/>
        </w:rPr>
        <w:t>比选申请人：</w:t>
      </w:r>
      <w:r>
        <w:rPr>
          <w:rFonts w:ascii="宋体"/>
          <w:kern w:val="0"/>
          <w:u w:val="single"/>
        </w:rPr>
        <w:tab/>
      </w:r>
      <w:r>
        <w:rPr>
          <w:rFonts w:hint="eastAsia" w:ascii="宋体" w:hAnsi="宋体" w:cs="宋体"/>
          <w:spacing w:val="-1"/>
          <w:kern w:val="0"/>
        </w:rPr>
        <w:t>（</w:t>
      </w:r>
      <w:r>
        <w:rPr>
          <w:rFonts w:hint="eastAsia" w:ascii="宋体" w:hAnsi="宋体" w:cs="宋体"/>
          <w:kern w:val="0"/>
        </w:rPr>
        <w:t>盖单位公章）</w:t>
      </w:r>
    </w:p>
    <w:p>
      <w:pPr>
        <w:autoSpaceDE w:val="0"/>
        <w:autoSpaceDN w:val="0"/>
        <w:adjustRightInd w:val="0"/>
        <w:snapToGrid w:val="0"/>
        <w:spacing w:line="360" w:lineRule="auto"/>
        <w:jc w:val="left"/>
        <w:rPr>
          <w:rFonts w:ascii="宋体"/>
          <w:kern w:val="0"/>
        </w:rPr>
      </w:pPr>
    </w:p>
    <w:p>
      <w:pPr>
        <w:tabs>
          <w:tab w:val="left" w:pos="4935"/>
          <w:tab w:val="left" w:pos="5460"/>
          <w:tab w:val="left" w:pos="6400"/>
        </w:tabs>
        <w:autoSpaceDE w:val="0"/>
        <w:autoSpaceDN w:val="0"/>
        <w:adjustRightInd w:val="0"/>
        <w:snapToGrid w:val="0"/>
        <w:spacing w:line="360" w:lineRule="auto"/>
        <w:ind w:firstLine="3780"/>
        <w:jc w:val="left"/>
        <w:rPr>
          <w:rFonts w:ascii="宋体"/>
          <w:kern w:val="0"/>
        </w:rPr>
      </w:pPr>
      <w:r>
        <w:rPr>
          <w:rFonts w:ascii="宋体"/>
          <w:kern w:val="0"/>
          <w:u w:val="single"/>
        </w:rPr>
        <w:tab/>
      </w:r>
      <w:r>
        <w:rPr>
          <w:rFonts w:hint="eastAsia" w:ascii="宋体" w:hAnsi="宋体" w:cs="宋体"/>
          <w:spacing w:val="-1"/>
          <w:kern w:val="0"/>
        </w:rPr>
        <w:t>年</w:t>
      </w:r>
      <w:r>
        <w:rPr>
          <w:rFonts w:hint="eastAsia" w:ascii="宋体" w:hAnsi="宋体" w:cs="宋体"/>
          <w:kern w:val="0"/>
        </w:rPr>
        <w:t>月日</w:t>
      </w:r>
    </w:p>
    <w:p>
      <w:pPr>
        <w:autoSpaceDE w:val="0"/>
        <w:autoSpaceDN w:val="0"/>
        <w:adjustRightInd w:val="0"/>
        <w:snapToGrid w:val="0"/>
        <w:spacing w:line="360" w:lineRule="auto"/>
        <w:jc w:val="left"/>
        <w:rPr>
          <w:rFonts w:ascii="宋体"/>
          <w:kern w:val="0"/>
        </w:rPr>
      </w:pPr>
    </w:p>
    <w:tbl>
      <w:tblPr>
        <w:tblStyle w:val="10"/>
        <w:tblpPr w:leftFromText="180" w:rightFromText="180" w:vertAnchor="text" w:horzAnchor="margin" w:tblpY="735"/>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360" w:lineRule="auto"/>
              <w:ind w:firstLine="211" w:firstLineChars="100"/>
              <w:rPr>
                <w:rFonts w:ascii="宋体"/>
                <w:b/>
                <w:bCs/>
              </w:rPr>
            </w:pPr>
          </w:p>
          <w:p>
            <w:pPr>
              <w:spacing w:line="360" w:lineRule="auto"/>
              <w:ind w:firstLine="211" w:firstLineChars="100"/>
              <w:rPr>
                <w:rFonts w:ascii="宋体"/>
                <w:b/>
                <w:bCs/>
              </w:rPr>
            </w:pPr>
            <w:r>
              <w:rPr>
                <w:rFonts w:hint="eastAsia" w:ascii="宋体" w:hAnsi="宋体" w:cs="宋体"/>
                <w:b/>
                <w:bCs/>
              </w:rPr>
              <w:t>法定代表人身份证正面复印件</w:t>
            </w:r>
          </w:p>
          <w:p>
            <w:pPr>
              <w:spacing w:line="360" w:lineRule="auto"/>
              <w:rPr>
                <w:rFonts w:ascii="宋体"/>
                <w:b/>
                <w:bCs/>
              </w:rPr>
            </w:pPr>
          </w:p>
        </w:tc>
      </w:tr>
    </w:tbl>
    <w:p>
      <w:pPr>
        <w:spacing w:line="360" w:lineRule="auto"/>
        <w:rPr>
          <w:rFonts w:ascii="宋体"/>
          <w:vanish/>
        </w:rPr>
      </w:pPr>
    </w:p>
    <w:tbl>
      <w:tblPr>
        <w:tblStyle w:val="10"/>
        <w:tblpPr w:leftFromText="180" w:rightFromText="180" w:vertAnchor="text" w:horzAnchor="margin" w:tblpXSpec="right" w:tblpY="683"/>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CellMar>
            <w:top w:w="0" w:type="dxa"/>
            <w:left w:w="108" w:type="dxa"/>
            <w:bottom w:w="0" w:type="dxa"/>
            <w:right w:w="108" w:type="dxa"/>
          </w:tblCellMar>
        </w:tblPrEx>
        <w:trPr>
          <w:trHeight w:val="2340" w:hRule="atLeast"/>
        </w:trPr>
        <w:tc>
          <w:tcPr>
            <w:tcW w:w="3960" w:type="dxa"/>
          </w:tcPr>
          <w:p>
            <w:pPr>
              <w:spacing w:line="360" w:lineRule="auto"/>
              <w:ind w:firstLine="211" w:firstLineChars="100"/>
              <w:rPr>
                <w:rFonts w:ascii="宋体"/>
                <w:b/>
                <w:bCs/>
              </w:rPr>
            </w:pPr>
          </w:p>
          <w:p>
            <w:pPr>
              <w:spacing w:line="360" w:lineRule="auto"/>
              <w:ind w:firstLine="211" w:firstLineChars="100"/>
              <w:rPr>
                <w:rFonts w:ascii="宋体"/>
                <w:b/>
                <w:bCs/>
              </w:rPr>
            </w:pPr>
            <w:r>
              <w:rPr>
                <w:rFonts w:hint="eastAsia" w:ascii="宋体" w:hAnsi="宋体" w:cs="宋体"/>
                <w:b/>
                <w:bCs/>
              </w:rPr>
              <w:t>法定代表人身份证背面复印件</w:t>
            </w:r>
          </w:p>
          <w:p>
            <w:pPr>
              <w:spacing w:line="360" w:lineRule="auto"/>
              <w:rPr>
                <w:rFonts w:ascii="宋体"/>
                <w:b/>
                <w:bCs/>
              </w:rPr>
            </w:pPr>
          </w:p>
        </w:tc>
      </w:tr>
    </w:tbl>
    <w:p>
      <w:pPr>
        <w:pStyle w:val="6"/>
        <w:spacing w:line="360" w:lineRule="auto"/>
        <w:rPr>
          <w:rFonts w:ascii="宋体"/>
          <w:sz w:val="21"/>
          <w:szCs w:val="21"/>
        </w:rPr>
        <w:sectPr>
          <w:pgSz w:w="11906" w:h="16838"/>
          <w:pgMar w:top="1276" w:right="1162" w:bottom="1135" w:left="1134" w:header="851" w:footer="992" w:gutter="0"/>
          <w:pgNumType w:start="1"/>
          <w:cols w:space="720" w:num="1"/>
          <w:titlePg/>
          <w:docGrid w:type="lines" w:linePitch="312" w:charSpace="0"/>
        </w:sectPr>
      </w:pPr>
    </w:p>
    <w:p>
      <w:pPr>
        <w:spacing w:line="360" w:lineRule="auto"/>
        <w:jc w:val="center"/>
        <w:outlineLvl w:val="0"/>
        <w:rPr>
          <w:rFonts w:ascii="宋体"/>
          <w:b/>
          <w:bCs/>
          <w:sz w:val="28"/>
          <w:szCs w:val="28"/>
        </w:rPr>
      </w:pPr>
      <w:bookmarkStart w:id="61" w:name="_Toc26105"/>
      <w:bookmarkStart w:id="62" w:name="_Toc12557"/>
      <w:bookmarkStart w:id="63" w:name="_Toc120633489"/>
      <w:r>
        <w:rPr>
          <w:rFonts w:hint="eastAsia" w:ascii="宋体" w:hAnsi="宋体" w:cs="宋体"/>
          <w:b/>
          <w:bCs/>
          <w:sz w:val="28"/>
          <w:szCs w:val="28"/>
        </w:rPr>
        <w:t>比选文件规定的其它资料</w:t>
      </w:r>
      <w:bookmarkEnd w:id="61"/>
      <w:bookmarkEnd w:id="62"/>
      <w:bookmarkEnd w:id="63"/>
    </w:p>
    <w:p>
      <w:pPr>
        <w:spacing w:line="360" w:lineRule="auto"/>
        <w:ind w:firstLine="630" w:firstLineChars="300"/>
        <w:jc w:val="left"/>
        <w:rPr>
          <w:rFonts w:ascii="宋体" w:hAnsi="宋体" w:cs="宋体"/>
        </w:rPr>
      </w:pPr>
    </w:p>
    <w:p>
      <w:pPr>
        <w:spacing w:line="360" w:lineRule="auto"/>
        <w:ind w:firstLine="630" w:firstLineChars="300"/>
        <w:jc w:val="left"/>
        <w:rPr>
          <w:rFonts w:ascii="宋体" w:hAnsi="宋体" w:cs="宋体"/>
        </w:rPr>
      </w:pPr>
      <w:r>
        <w:rPr>
          <w:rFonts w:hint="eastAsia" w:ascii="宋体" w:hAnsi="宋体" w:cs="宋体"/>
        </w:rPr>
        <w:t>（如资格部分的其他证明材料，商务部分及技术部分的评分资料，比选申请人认为参与此次比选应提交的其他资料）</w:t>
      </w:r>
    </w:p>
    <w:p>
      <w:pPr>
        <w:spacing w:line="360" w:lineRule="auto"/>
        <w:jc w:val="center"/>
        <w:rPr>
          <w:rFonts w:ascii="宋体"/>
          <w:b/>
          <w:bCs/>
          <w:sz w:val="28"/>
          <w:szCs w:val="28"/>
        </w:rPr>
      </w:pPr>
    </w:p>
    <w:p>
      <w:pPr>
        <w:spacing w:line="360" w:lineRule="auto"/>
        <w:jc w:val="center"/>
        <w:rPr>
          <w:rFonts w:ascii="宋体"/>
          <w:b/>
          <w:bCs/>
          <w:sz w:val="28"/>
          <w:szCs w:val="28"/>
        </w:rPr>
      </w:pPr>
    </w:p>
    <w:p>
      <w:pPr>
        <w:spacing w:line="360" w:lineRule="auto"/>
        <w:jc w:val="center"/>
        <w:rPr>
          <w:rFonts w:ascii="宋体"/>
          <w:b/>
          <w:bCs/>
          <w:sz w:val="28"/>
          <w:szCs w:val="28"/>
        </w:rPr>
      </w:pPr>
    </w:p>
    <w:p>
      <w:pPr>
        <w:spacing w:line="360" w:lineRule="auto"/>
        <w:jc w:val="center"/>
        <w:rPr>
          <w:rFonts w:ascii="宋体"/>
          <w:b/>
          <w:bCs/>
          <w:sz w:val="28"/>
          <w:szCs w:val="28"/>
        </w:rPr>
      </w:pPr>
    </w:p>
    <w:p>
      <w:pPr>
        <w:spacing w:line="360" w:lineRule="auto"/>
        <w:jc w:val="center"/>
        <w:rPr>
          <w:rFonts w:ascii="宋体"/>
          <w:b/>
          <w:bCs/>
          <w:sz w:val="28"/>
          <w:szCs w:val="28"/>
        </w:rPr>
      </w:pPr>
    </w:p>
    <w:p>
      <w:pPr>
        <w:spacing w:line="360" w:lineRule="auto"/>
        <w:jc w:val="center"/>
        <w:rPr>
          <w:rFonts w:ascii="宋体"/>
          <w:b/>
          <w:bCs/>
          <w:sz w:val="28"/>
          <w:szCs w:val="28"/>
        </w:rPr>
      </w:pPr>
    </w:p>
    <w:p>
      <w:pPr>
        <w:spacing w:line="360" w:lineRule="auto"/>
        <w:jc w:val="center"/>
        <w:rPr>
          <w:rFonts w:ascii="宋体"/>
          <w:b/>
          <w:bCs/>
          <w:sz w:val="28"/>
          <w:szCs w:val="28"/>
        </w:rPr>
      </w:pPr>
    </w:p>
    <w:p>
      <w:pPr>
        <w:spacing w:line="360" w:lineRule="auto"/>
        <w:jc w:val="center"/>
        <w:rPr>
          <w:rFonts w:ascii="宋体"/>
          <w:b/>
          <w:bCs/>
          <w:sz w:val="28"/>
          <w:szCs w:val="28"/>
        </w:rPr>
      </w:pPr>
    </w:p>
    <w:p>
      <w:pPr>
        <w:spacing w:line="360" w:lineRule="auto"/>
        <w:jc w:val="center"/>
        <w:rPr>
          <w:rFonts w:ascii="宋体"/>
          <w:b/>
          <w:bCs/>
          <w:sz w:val="28"/>
          <w:szCs w:val="28"/>
        </w:rPr>
      </w:pPr>
    </w:p>
    <w:p>
      <w:pPr>
        <w:spacing w:line="360" w:lineRule="auto"/>
        <w:jc w:val="center"/>
        <w:rPr>
          <w:rFonts w:ascii="宋体"/>
          <w:b/>
          <w:bCs/>
          <w:sz w:val="28"/>
          <w:szCs w:val="28"/>
        </w:rPr>
      </w:pPr>
    </w:p>
    <w:p>
      <w:pPr>
        <w:spacing w:line="360" w:lineRule="auto"/>
        <w:jc w:val="center"/>
        <w:rPr>
          <w:rFonts w:ascii="宋体"/>
          <w:b/>
          <w:bCs/>
          <w:sz w:val="28"/>
          <w:szCs w:val="28"/>
        </w:rPr>
      </w:pPr>
    </w:p>
    <w:p>
      <w:pPr>
        <w:spacing w:line="360" w:lineRule="auto"/>
        <w:jc w:val="center"/>
        <w:rPr>
          <w:rFonts w:ascii="宋体"/>
          <w:b/>
          <w:bCs/>
          <w:sz w:val="28"/>
          <w:szCs w:val="28"/>
        </w:rPr>
      </w:pPr>
    </w:p>
    <w:p>
      <w:pPr>
        <w:spacing w:line="360" w:lineRule="auto"/>
        <w:jc w:val="center"/>
        <w:rPr>
          <w:rFonts w:ascii="宋体"/>
          <w:b/>
          <w:bCs/>
          <w:sz w:val="28"/>
          <w:szCs w:val="28"/>
        </w:rPr>
      </w:pPr>
    </w:p>
    <w:p>
      <w:pPr>
        <w:spacing w:line="360" w:lineRule="auto"/>
        <w:jc w:val="center"/>
        <w:rPr>
          <w:rFonts w:ascii="宋体"/>
          <w:b/>
          <w:bCs/>
          <w:sz w:val="28"/>
          <w:szCs w:val="28"/>
        </w:rPr>
      </w:pPr>
    </w:p>
    <w:p>
      <w:pPr>
        <w:spacing w:line="360" w:lineRule="auto"/>
        <w:jc w:val="center"/>
        <w:rPr>
          <w:rFonts w:ascii="宋体"/>
          <w:b/>
          <w:bCs/>
          <w:sz w:val="28"/>
          <w:szCs w:val="28"/>
        </w:rPr>
      </w:pPr>
    </w:p>
    <w:p>
      <w:pPr>
        <w:spacing w:line="360" w:lineRule="auto"/>
        <w:jc w:val="center"/>
        <w:rPr>
          <w:rFonts w:ascii="宋体"/>
          <w:b/>
          <w:bCs/>
          <w:sz w:val="28"/>
          <w:szCs w:val="28"/>
        </w:rPr>
      </w:pPr>
    </w:p>
    <w:p>
      <w:pPr>
        <w:spacing w:line="360" w:lineRule="auto"/>
        <w:rPr>
          <w:rFonts w:ascii="宋体"/>
          <w:b/>
          <w:bCs/>
          <w:sz w:val="28"/>
          <w:szCs w:val="28"/>
        </w:rPr>
      </w:pPr>
    </w:p>
    <w:p>
      <w:pPr>
        <w:pStyle w:val="2"/>
      </w:pPr>
    </w:p>
    <w:p>
      <w:pPr>
        <w:spacing w:line="360" w:lineRule="auto"/>
        <w:rPr>
          <w:rFonts w:ascii="宋体"/>
          <w:b/>
          <w:bCs/>
          <w:sz w:val="28"/>
          <w:szCs w:val="28"/>
        </w:rPr>
      </w:pPr>
    </w:p>
    <w:p>
      <w:pPr>
        <w:spacing w:line="360" w:lineRule="auto"/>
        <w:jc w:val="center"/>
        <w:outlineLvl w:val="0"/>
        <w:rPr>
          <w:rFonts w:ascii="宋体" w:hAnsi="宋体" w:cs="宋体"/>
          <w:b/>
          <w:bCs/>
          <w:sz w:val="28"/>
          <w:szCs w:val="28"/>
        </w:rPr>
      </w:pPr>
      <w:bookmarkStart w:id="64" w:name="_Toc30810"/>
      <w:bookmarkStart w:id="65" w:name="_Toc120633490"/>
      <w:r>
        <w:rPr>
          <w:rFonts w:hint="eastAsia" w:ascii="宋体" w:hAnsi="宋体" w:cs="宋体"/>
          <w:b/>
          <w:bCs/>
          <w:sz w:val="28"/>
          <w:szCs w:val="28"/>
        </w:rPr>
        <w:t>第四部分 合同条款</w:t>
      </w:r>
      <w:bookmarkEnd w:id="64"/>
      <w:bookmarkEnd w:id="65"/>
    </w:p>
    <w:p>
      <w:pPr>
        <w:ind w:firstLine="560"/>
        <w:rPr>
          <w:kern w:val="0"/>
          <w:sz w:val="28"/>
        </w:rPr>
      </w:pPr>
    </w:p>
    <w:p>
      <w:pPr>
        <w:ind w:firstLine="723"/>
        <w:rPr>
          <w:rFonts w:eastAsia="黑体"/>
          <w:b/>
          <w:kern w:val="0"/>
          <w:sz w:val="36"/>
        </w:rPr>
      </w:pPr>
    </w:p>
    <w:p>
      <w:pPr>
        <w:jc w:val="center"/>
        <w:rPr>
          <w:rFonts w:eastAsia="黑体"/>
          <w:b/>
          <w:kern w:val="0"/>
          <w:sz w:val="52"/>
          <w:szCs w:val="52"/>
        </w:rPr>
      </w:pPr>
      <w:r>
        <w:rPr>
          <w:rFonts w:hint="eastAsia" w:eastAsia="黑体"/>
          <w:b/>
          <w:kern w:val="0"/>
          <w:sz w:val="52"/>
          <w:szCs w:val="52"/>
        </w:rPr>
        <w:t>重咨集团网络与信息安全技术服务</w:t>
      </w:r>
    </w:p>
    <w:p>
      <w:pPr>
        <w:jc w:val="center"/>
        <w:rPr>
          <w:rFonts w:eastAsia="黑体"/>
          <w:b/>
          <w:kern w:val="0"/>
          <w:sz w:val="52"/>
          <w:szCs w:val="52"/>
        </w:rPr>
      </w:pPr>
      <w:r>
        <w:rPr>
          <w:rFonts w:hint="eastAsia" w:eastAsia="黑体"/>
          <w:b/>
          <w:kern w:val="0"/>
          <w:sz w:val="52"/>
          <w:szCs w:val="52"/>
        </w:rPr>
        <w:t>采购合同</w:t>
      </w:r>
    </w:p>
    <w:p>
      <w:pPr>
        <w:ind w:firstLine="560"/>
        <w:rPr>
          <w:kern w:val="0"/>
          <w:sz w:val="28"/>
        </w:rPr>
      </w:pPr>
    </w:p>
    <w:p>
      <w:pPr>
        <w:rPr>
          <w:kern w:val="0"/>
          <w:sz w:val="28"/>
        </w:rPr>
      </w:pPr>
    </w:p>
    <w:p>
      <w:pPr>
        <w:ind w:firstLine="560"/>
        <w:rPr>
          <w:kern w:val="0"/>
          <w:sz w:val="28"/>
        </w:rPr>
      </w:pPr>
    </w:p>
    <w:p>
      <w:pPr>
        <w:ind w:firstLine="560"/>
        <w:rPr>
          <w:kern w:val="0"/>
          <w:sz w:val="28"/>
        </w:rPr>
      </w:pPr>
    </w:p>
    <w:p>
      <w:pPr>
        <w:ind w:firstLine="560"/>
        <w:rPr>
          <w:rFonts w:eastAsia="楷体_GB2312"/>
          <w:kern w:val="0"/>
          <w:sz w:val="28"/>
        </w:rPr>
      </w:pPr>
      <w:r>
        <w:rPr>
          <w:rFonts w:hint="eastAsia" w:eastAsia="楷体_GB2312"/>
          <w:kern w:val="0"/>
          <w:sz w:val="28"/>
        </w:rPr>
        <w:t xml:space="preserve">   </w:t>
      </w:r>
    </w:p>
    <w:p>
      <w:pPr>
        <w:spacing w:line="240" w:lineRule="atLeast"/>
        <w:ind w:firstLine="560"/>
        <w:rPr>
          <w:rFonts w:eastAsia="楷体_GB2312"/>
          <w:kern w:val="0"/>
          <w:sz w:val="28"/>
        </w:rPr>
      </w:pPr>
    </w:p>
    <w:p>
      <w:pPr>
        <w:spacing w:line="240" w:lineRule="atLeast"/>
        <w:ind w:left="1275" w:firstLine="560"/>
        <w:rPr>
          <w:rFonts w:eastAsia="楷体_GB2312"/>
          <w:b/>
          <w:kern w:val="0"/>
          <w:sz w:val="30"/>
          <w:szCs w:val="30"/>
        </w:rPr>
      </w:pPr>
      <w:r>
        <w:rPr>
          <w:rFonts w:hint="eastAsia" w:eastAsia="楷体_GB2312"/>
          <w:kern w:val="0"/>
          <w:sz w:val="28"/>
        </w:rPr>
        <w:t>委</w:t>
      </w:r>
      <w:r>
        <w:rPr>
          <w:rFonts w:eastAsia="楷体_GB2312"/>
          <w:kern w:val="0"/>
          <w:sz w:val="28"/>
        </w:rPr>
        <w:t xml:space="preserve"> </w:t>
      </w:r>
      <w:r>
        <w:rPr>
          <w:rFonts w:hint="eastAsia" w:eastAsia="楷体_GB2312"/>
          <w:kern w:val="0"/>
          <w:sz w:val="28"/>
        </w:rPr>
        <w:t>托</w:t>
      </w:r>
      <w:r>
        <w:rPr>
          <w:rFonts w:eastAsia="楷体_GB2312"/>
          <w:kern w:val="0"/>
          <w:sz w:val="28"/>
        </w:rPr>
        <w:t xml:space="preserve"> </w:t>
      </w:r>
      <w:r>
        <w:rPr>
          <w:rFonts w:hint="eastAsia" w:eastAsia="楷体_GB2312"/>
          <w:kern w:val="0"/>
          <w:sz w:val="28"/>
        </w:rPr>
        <w:t>方：</w:t>
      </w:r>
      <w:r>
        <w:rPr>
          <w:rFonts w:hint="eastAsia" w:eastAsia="楷体_GB2312"/>
          <w:kern w:val="0"/>
          <w:sz w:val="28"/>
          <w:szCs w:val="22"/>
          <w:u w:val="single"/>
        </w:rPr>
        <w:t xml:space="preserve"> </w:t>
      </w:r>
      <w:r>
        <w:rPr>
          <w:rFonts w:eastAsia="楷体_GB2312"/>
          <w:kern w:val="0"/>
          <w:sz w:val="28"/>
          <w:szCs w:val="22"/>
          <w:u w:val="single"/>
        </w:rPr>
        <w:t xml:space="preserve">                      </w:t>
      </w:r>
      <w:r>
        <w:rPr>
          <w:rFonts w:hint="eastAsia" w:eastAsia="楷体_GB2312"/>
          <w:kern w:val="0"/>
          <w:sz w:val="28"/>
          <w:szCs w:val="22"/>
          <w:u w:val="single"/>
        </w:rPr>
        <w:t xml:space="preserve"> </w:t>
      </w:r>
    </w:p>
    <w:p>
      <w:pPr>
        <w:spacing w:line="240" w:lineRule="atLeast"/>
        <w:ind w:left="1275" w:firstLine="560"/>
        <w:rPr>
          <w:rFonts w:eastAsia="楷体_GB2312"/>
          <w:kern w:val="0"/>
          <w:sz w:val="28"/>
        </w:rPr>
      </w:pPr>
      <w:r>
        <w:rPr>
          <w:rFonts w:hint="eastAsia" w:eastAsia="楷体_GB2312"/>
          <w:kern w:val="0"/>
          <w:sz w:val="28"/>
        </w:rPr>
        <w:t xml:space="preserve">（甲方）   </w:t>
      </w:r>
    </w:p>
    <w:p>
      <w:pPr>
        <w:spacing w:line="240" w:lineRule="atLeast"/>
        <w:ind w:firstLine="560"/>
        <w:rPr>
          <w:rFonts w:eastAsia="楷体_GB2312"/>
          <w:kern w:val="0"/>
          <w:sz w:val="28"/>
        </w:rPr>
      </w:pPr>
    </w:p>
    <w:p>
      <w:pPr>
        <w:spacing w:line="240" w:lineRule="atLeast"/>
        <w:ind w:left="1275" w:firstLine="560"/>
        <w:rPr>
          <w:rFonts w:eastAsia="楷体_GB2312"/>
          <w:kern w:val="0"/>
          <w:sz w:val="30"/>
          <w:szCs w:val="30"/>
          <w:u w:val="single"/>
        </w:rPr>
      </w:pPr>
      <w:r>
        <w:rPr>
          <w:rFonts w:hint="eastAsia" w:eastAsia="楷体_GB2312"/>
          <w:kern w:val="0"/>
          <w:sz w:val="28"/>
        </w:rPr>
        <w:t>服 务 方：</w:t>
      </w:r>
      <w:r>
        <w:rPr>
          <w:rFonts w:hint="eastAsia" w:eastAsia="楷体_GB2312"/>
          <w:kern w:val="0"/>
          <w:sz w:val="28"/>
          <w:szCs w:val="22"/>
          <w:u w:val="single"/>
        </w:rPr>
        <w:t xml:space="preserve"> </w:t>
      </w:r>
      <w:r>
        <w:rPr>
          <w:rFonts w:eastAsia="楷体_GB2312"/>
          <w:kern w:val="0"/>
          <w:sz w:val="28"/>
          <w:szCs w:val="22"/>
          <w:u w:val="single"/>
        </w:rPr>
        <w:t xml:space="preserve">                      </w:t>
      </w:r>
      <w:r>
        <w:rPr>
          <w:rFonts w:hint="eastAsia" w:eastAsia="楷体_GB2312"/>
          <w:kern w:val="0"/>
          <w:sz w:val="28"/>
          <w:szCs w:val="22"/>
          <w:u w:val="single"/>
        </w:rPr>
        <w:t xml:space="preserve"> </w:t>
      </w:r>
    </w:p>
    <w:p>
      <w:pPr>
        <w:spacing w:line="240" w:lineRule="atLeast"/>
        <w:ind w:firstLine="560"/>
        <w:rPr>
          <w:rFonts w:eastAsia="楷体_GB2312"/>
          <w:kern w:val="0"/>
          <w:sz w:val="28"/>
        </w:rPr>
      </w:pPr>
      <w:r>
        <w:rPr>
          <w:rFonts w:hint="eastAsia" w:eastAsia="楷体_GB2312"/>
          <w:kern w:val="0"/>
          <w:sz w:val="28"/>
        </w:rPr>
        <w:t xml:space="preserve"> </w:t>
      </w:r>
      <w:r>
        <w:rPr>
          <w:rFonts w:hint="eastAsia" w:eastAsia="楷体_GB2312"/>
          <w:kern w:val="0"/>
          <w:sz w:val="28"/>
        </w:rPr>
        <w:tab/>
      </w:r>
      <w:r>
        <w:rPr>
          <w:rFonts w:hint="eastAsia" w:eastAsia="楷体_GB2312"/>
          <w:kern w:val="0"/>
          <w:sz w:val="28"/>
        </w:rPr>
        <w:tab/>
      </w:r>
      <w:r>
        <w:rPr>
          <w:rFonts w:hint="eastAsia" w:eastAsia="楷体_GB2312"/>
          <w:kern w:val="0"/>
          <w:sz w:val="28"/>
        </w:rPr>
        <w:tab/>
      </w:r>
      <w:r>
        <w:rPr>
          <w:rFonts w:hint="eastAsia" w:eastAsia="楷体_GB2312"/>
          <w:kern w:val="0"/>
          <w:sz w:val="28"/>
        </w:rPr>
        <w:t xml:space="preserve"> （乙方） </w:t>
      </w:r>
    </w:p>
    <w:p>
      <w:pPr>
        <w:ind w:firstLine="560"/>
        <w:rPr>
          <w:rFonts w:eastAsia="楷体_GB2312"/>
          <w:kern w:val="0"/>
          <w:sz w:val="28"/>
        </w:rPr>
      </w:pPr>
    </w:p>
    <w:p>
      <w:pPr>
        <w:ind w:firstLine="560"/>
        <w:rPr>
          <w:rFonts w:eastAsia="楷体_GB2312"/>
          <w:color w:val="000000"/>
          <w:kern w:val="0"/>
          <w:sz w:val="28"/>
        </w:rPr>
      </w:pPr>
      <w:r>
        <w:rPr>
          <w:rFonts w:hint="eastAsia" w:eastAsia="楷体_GB2312"/>
          <w:kern w:val="0"/>
          <w:sz w:val="28"/>
        </w:rPr>
        <w:t xml:space="preserve">     </w:t>
      </w:r>
      <w:r>
        <w:rPr>
          <w:rFonts w:hint="eastAsia" w:eastAsia="楷体_GB2312"/>
          <w:kern w:val="0"/>
          <w:sz w:val="28"/>
        </w:rPr>
        <w:tab/>
      </w:r>
      <w:r>
        <w:rPr>
          <w:rFonts w:hint="eastAsia" w:eastAsia="楷体_GB2312"/>
          <w:kern w:val="0"/>
          <w:sz w:val="28"/>
        </w:rPr>
        <w:t>签订日期：</w:t>
      </w:r>
      <w:r>
        <w:rPr>
          <w:rFonts w:eastAsia="楷体_GB2312"/>
          <w:kern w:val="0"/>
          <w:sz w:val="28"/>
        </w:rPr>
        <w:t xml:space="preserve">  </w:t>
      </w:r>
      <w:r>
        <w:rPr>
          <w:rFonts w:hint="eastAsia" w:eastAsia="楷体_GB2312"/>
          <w:kern w:val="0"/>
          <w:sz w:val="28"/>
        </w:rPr>
        <w:t>202</w:t>
      </w:r>
      <w:r>
        <w:rPr>
          <w:rFonts w:eastAsia="楷体_GB2312"/>
          <w:kern w:val="0"/>
          <w:sz w:val="28"/>
        </w:rPr>
        <w:t>4</w:t>
      </w:r>
      <w:r>
        <w:rPr>
          <w:rFonts w:hint="eastAsia" w:eastAsia="楷体_GB2312"/>
          <w:kern w:val="0"/>
          <w:sz w:val="28"/>
        </w:rPr>
        <w:t>年</w:t>
      </w:r>
      <w:r>
        <w:rPr>
          <w:rFonts w:eastAsia="楷体_GB2312"/>
          <w:kern w:val="0"/>
          <w:sz w:val="28"/>
        </w:rPr>
        <w:t xml:space="preserve"> </w:t>
      </w:r>
      <w:r>
        <w:rPr>
          <w:rFonts w:hint="eastAsia" w:eastAsia="楷体_GB2312"/>
          <w:kern w:val="0"/>
          <w:sz w:val="28"/>
        </w:rPr>
        <w:t>X月</w:t>
      </w:r>
      <w:r>
        <w:rPr>
          <w:rFonts w:eastAsia="楷体_GB2312"/>
          <w:kern w:val="0"/>
          <w:sz w:val="28"/>
        </w:rPr>
        <w:t>X</w:t>
      </w:r>
      <w:r>
        <w:rPr>
          <w:rFonts w:hint="eastAsia" w:eastAsia="楷体_GB2312"/>
          <w:kern w:val="0"/>
          <w:sz w:val="28"/>
        </w:rPr>
        <w:t>日</w:t>
      </w:r>
    </w:p>
    <w:p>
      <w:pPr>
        <w:ind w:firstLine="560"/>
        <w:rPr>
          <w:rFonts w:eastAsia="楷体_GB2312"/>
          <w:color w:val="000000"/>
          <w:kern w:val="0"/>
          <w:sz w:val="28"/>
        </w:rPr>
      </w:pPr>
      <w:r>
        <w:rPr>
          <w:rFonts w:hint="eastAsia" w:eastAsia="楷体_GB2312"/>
          <w:color w:val="000000"/>
          <w:kern w:val="0"/>
          <w:sz w:val="28"/>
        </w:rPr>
        <w:t xml:space="preserve">     </w:t>
      </w:r>
      <w:r>
        <w:rPr>
          <w:rFonts w:hint="eastAsia" w:eastAsia="楷体_GB2312"/>
          <w:color w:val="000000"/>
          <w:kern w:val="0"/>
          <w:sz w:val="28"/>
        </w:rPr>
        <w:tab/>
      </w:r>
      <w:r>
        <w:rPr>
          <w:rFonts w:hint="eastAsia" w:eastAsia="楷体_GB2312"/>
          <w:color w:val="000000"/>
          <w:kern w:val="0"/>
          <w:sz w:val="28"/>
        </w:rPr>
        <w:t>有效期限：</w:t>
      </w:r>
      <w:r>
        <w:rPr>
          <w:rFonts w:eastAsia="楷体_GB2312"/>
          <w:color w:val="000000"/>
          <w:kern w:val="0"/>
          <w:sz w:val="28"/>
        </w:rPr>
        <w:t xml:space="preserve">  </w:t>
      </w:r>
      <w:r>
        <w:rPr>
          <w:rFonts w:hint="eastAsia" w:eastAsia="楷体_GB2312"/>
          <w:color w:val="000000"/>
          <w:kern w:val="0"/>
          <w:sz w:val="28"/>
        </w:rPr>
        <w:t>202</w:t>
      </w:r>
      <w:r>
        <w:rPr>
          <w:rFonts w:eastAsia="楷体_GB2312"/>
          <w:color w:val="000000"/>
          <w:kern w:val="0"/>
          <w:sz w:val="28"/>
        </w:rPr>
        <w:t>4</w:t>
      </w:r>
      <w:r>
        <w:rPr>
          <w:rFonts w:hint="eastAsia" w:eastAsia="楷体_GB2312"/>
          <w:color w:val="000000"/>
          <w:kern w:val="0"/>
          <w:sz w:val="28"/>
        </w:rPr>
        <w:t>年</w:t>
      </w:r>
      <w:r>
        <w:rPr>
          <w:rFonts w:eastAsia="楷体_GB2312"/>
          <w:color w:val="000000"/>
          <w:kern w:val="0"/>
          <w:sz w:val="28"/>
        </w:rPr>
        <w:t>X</w:t>
      </w:r>
      <w:r>
        <w:rPr>
          <w:rFonts w:hint="eastAsia" w:eastAsia="楷体_GB2312"/>
          <w:color w:val="000000"/>
          <w:kern w:val="0"/>
          <w:sz w:val="28"/>
        </w:rPr>
        <w:t>月</w:t>
      </w:r>
      <w:r>
        <w:rPr>
          <w:rFonts w:eastAsia="楷体_GB2312"/>
          <w:color w:val="000000"/>
          <w:kern w:val="0"/>
          <w:sz w:val="28"/>
        </w:rPr>
        <w:t>X</w:t>
      </w:r>
      <w:r>
        <w:rPr>
          <w:rFonts w:hint="eastAsia" w:eastAsia="楷体_GB2312"/>
          <w:color w:val="000000"/>
          <w:kern w:val="0"/>
          <w:sz w:val="28"/>
        </w:rPr>
        <w:t>日 至 202</w:t>
      </w:r>
      <w:r>
        <w:rPr>
          <w:rFonts w:eastAsia="楷体_GB2312"/>
          <w:color w:val="000000"/>
          <w:kern w:val="0"/>
          <w:sz w:val="28"/>
        </w:rPr>
        <w:t>5</w:t>
      </w:r>
      <w:r>
        <w:rPr>
          <w:rFonts w:hint="eastAsia" w:eastAsia="楷体_GB2312"/>
          <w:kern w:val="0"/>
          <w:sz w:val="28"/>
        </w:rPr>
        <w:t>年</w:t>
      </w:r>
      <w:r>
        <w:rPr>
          <w:rFonts w:eastAsia="楷体_GB2312"/>
          <w:kern w:val="0"/>
          <w:sz w:val="28"/>
        </w:rPr>
        <w:t>X</w:t>
      </w:r>
      <w:r>
        <w:rPr>
          <w:rFonts w:hint="eastAsia" w:eastAsia="楷体_GB2312"/>
          <w:kern w:val="0"/>
          <w:sz w:val="28"/>
        </w:rPr>
        <w:t>月</w:t>
      </w:r>
      <w:r>
        <w:rPr>
          <w:rFonts w:eastAsia="楷体_GB2312"/>
          <w:kern w:val="0"/>
          <w:sz w:val="28"/>
        </w:rPr>
        <w:t>X</w:t>
      </w:r>
      <w:r>
        <w:rPr>
          <w:rFonts w:hint="eastAsia" w:eastAsia="楷体_GB2312"/>
          <w:kern w:val="0"/>
          <w:sz w:val="28"/>
        </w:rPr>
        <w:t>日</w:t>
      </w:r>
    </w:p>
    <w:p>
      <w:pPr>
        <w:ind w:firstLine="560"/>
        <w:jc w:val="center"/>
        <w:rPr>
          <w:rFonts w:eastAsia="楷体_GB2312"/>
          <w:kern w:val="0"/>
          <w:sz w:val="28"/>
        </w:rPr>
      </w:pPr>
    </w:p>
    <w:p>
      <w:pPr>
        <w:ind w:firstLine="560"/>
        <w:jc w:val="center"/>
        <w:rPr>
          <w:rFonts w:eastAsia="楷体_GB2312"/>
          <w:kern w:val="0"/>
          <w:sz w:val="28"/>
        </w:rPr>
      </w:pPr>
      <w:r>
        <w:rPr>
          <w:rFonts w:hint="eastAsia" w:eastAsia="楷体_GB2312"/>
          <w:kern w:val="0"/>
          <w:sz w:val="28"/>
        </w:rPr>
        <w:t xml:space="preserve"> </w:t>
      </w:r>
    </w:p>
    <w:p>
      <w:pPr>
        <w:ind w:firstLine="560"/>
        <w:rPr>
          <w:rFonts w:ascii="仿宋" w:hAnsi="仿宋" w:eastAsia="仿宋"/>
          <w:kern w:val="0"/>
          <w:sz w:val="28"/>
        </w:rPr>
      </w:pPr>
      <w:r>
        <w:rPr>
          <w:rFonts w:eastAsia="楷体_GB2312"/>
          <w:kern w:val="0"/>
          <w:sz w:val="28"/>
        </w:rPr>
        <w:br w:type="page"/>
      </w:r>
      <w:r>
        <w:rPr>
          <w:rFonts w:hint="eastAsia" w:ascii="仿宋" w:hAnsi="仿宋" w:eastAsia="仿宋"/>
          <w:sz w:val="28"/>
          <w:szCs w:val="28"/>
        </w:rPr>
        <w:t>本合同甲方委托乙方提供</w:t>
      </w:r>
      <w:r>
        <w:rPr>
          <w:rFonts w:hint="eastAsia" w:ascii="仿宋" w:hAnsi="仿宋" w:eastAsia="仿宋"/>
          <w:sz w:val="28"/>
          <w:szCs w:val="28"/>
          <w:u w:val="single"/>
        </w:rPr>
        <w:t>重咨集团网络与信息安全技术服务</w:t>
      </w:r>
      <w:r>
        <w:rPr>
          <w:rFonts w:hint="eastAsia" w:ascii="仿宋" w:hAnsi="仿宋" w:eastAsia="仿宋"/>
          <w:sz w:val="28"/>
          <w:szCs w:val="28"/>
        </w:rPr>
        <w:t>，并向乙方支付相应的报酬。双方经过平等协商，在真实、充分地表达各自意愿的基础上，根据《中华人民共和国民法典》相关条款的规定，达成如下协议，并由双方共同恪守。</w:t>
      </w:r>
    </w:p>
    <w:p>
      <w:pPr>
        <w:jc w:val="left"/>
        <w:outlineLvl w:val="0"/>
        <w:rPr>
          <w:rFonts w:ascii="仿宋" w:hAnsi="仿宋" w:eastAsia="仿宋"/>
          <w:b/>
          <w:sz w:val="28"/>
          <w:szCs w:val="28"/>
        </w:rPr>
      </w:pPr>
      <w:r>
        <w:rPr>
          <w:rFonts w:hint="eastAsia" w:ascii="仿宋" w:hAnsi="仿宋" w:eastAsia="仿宋"/>
          <w:b/>
          <w:sz w:val="28"/>
          <w:szCs w:val="28"/>
        </w:rPr>
        <w:t>一、服务内容</w:t>
      </w:r>
    </w:p>
    <w:p>
      <w:pPr>
        <w:ind w:firstLine="560"/>
        <w:jc w:val="left"/>
        <w:rPr>
          <w:rFonts w:ascii="仿宋" w:hAnsi="仿宋" w:eastAsia="仿宋" w:cs="宋体"/>
          <w:kern w:val="0"/>
          <w:sz w:val="28"/>
          <w:szCs w:val="28"/>
        </w:rPr>
      </w:pPr>
      <w:r>
        <w:rPr>
          <w:rFonts w:hint="eastAsia" w:ascii="仿宋" w:hAnsi="仿宋" w:eastAsia="仿宋" w:cs="宋体"/>
          <w:kern w:val="0"/>
          <w:sz w:val="28"/>
          <w:szCs w:val="28"/>
        </w:rPr>
        <w:t>本合同项下，甲方同意向乙方购买、乙方同意售于甲方下列服务：</w:t>
      </w:r>
    </w:p>
    <w:tbl>
      <w:tblPr>
        <w:tblStyle w:val="3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1538"/>
        <w:gridCol w:w="6526"/>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序号</w:t>
            </w:r>
          </w:p>
        </w:tc>
        <w:tc>
          <w:tcPr>
            <w:tcW w:w="769"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项目名称</w:t>
            </w:r>
          </w:p>
        </w:tc>
        <w:tc>
          <w:tcPr>
            <w:tcW w:w="3264"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服务内容</w:t>
            </w:r>
          </w:p>
        </w:tc>
        <w:tc>
          <w:tcPr>
            <w:tcW w:w="457"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数量/期限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1</w:t>
            </w:r>
          </w:p>
        </w:tc>
        <w:tc>
          <w:tcPr>
            <w:tcW w:w="769"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安全基础梳理和摸底</w:t>
            </w:r>
          </w:p>
        </w:tc>
        <w:tc>
          <w:tcPr>
            <w:tcW w:w="3264" w:type="pct"/>
            <w:vAlign w:val="center"/>
          </w:tcPr>
          <w:p>
            <w:pPr>
              <w:adjustRightInd w:val="0"/>
              <w:snapToGrid w:val="0"/>
              <w:spacing w:before="187" w:after="187" w:line="400" w:lineRule="exact"/>
              <w:jc w:val="left"/>
              <w:rPr>
                <w:rFonts w:ascii="宋体" w:hAnsi="宋体" w:cs="宋体"/>
              </w:rPr>
            </w:pPr>
            <w:r>
              <w:rPr>
                <w:rFonts w:hint="eastAsia" w:ascii="宋体" w:hAnsi="宋体" w:cs="宋体"/>
              </w:rPr>
              <w:t>1、主要以管理和技术的手段，通过调研、上机查验等方式，摸清集团在管理制度和安全防护方面的现状、问题，并进行一次漏洞问题排查。</w:t>
            </w:r>
          </w:p>
          <w:p>
            <w:pPr>
              <w:adjustRightInd w:val="0"/>
              <w:snapToGrid w:val="0"/>
              <w:spacing w:before="187" w:after="187" w:line="400" w:lineRule="exact"/>
              <w:jc w:val="left"/>
              <w:rPr>
                <w:rFonts w:ascii="宋体" w:hAnsi="宋体" w:cs="宋体"/>
              </w:rPr>
            </w:pPr>
            <w:r>
              <w:rPr>
                <w:rFonts w:hint="eastAsia" w:ascii="宋体" w:hAnsi="宋体" w:cs="宋体"/>
              </w:rPr>
              <w:t>2、出具《重咨集团网络信息和数据安全管理制度清单》《重咨集团制度运行问题及差距清单》；《重咨集团信息化资产清单》《重咨集团应用系统清单》《重咨集团安全防护策略问题清单》；《漏洞扫描报告》、《基线核查报告》、《渗透测试报告》。</w:t>
            </w:r>
          </w:p>
        </w:tc>
        <w:tc>
          <w:tcPr>
            <w:tcW w:w="457"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10"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2</w:t>
            </w:r>
          </w:p>
        </w:tc>
        <w:tc>
          <w:tcPr>
            <w:tcW w:w="769"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网络与信息安全风险评估</w:t>
            </w:r>
          </w:p>
        </w:tc>
        <w:tc>
          <w:tcPr>
            <w:tcW w:w="3264" w:type="pct"/>
            <w:vAlign w:val="center"/>
          </w:tcPr>
          <w:p>
            <w:pPr>
              <w:adjustRightInd w:val="0"/>
              <w:snapToGrid w:val="0"/>
              <w:spacing w:before="187" w:after="187" w:line="400" w:lineRule="exact"/>
              <w:jc w:val="left"/>
              <w:rPr>
                <w:rFonts w:ascii="宋体" w:hAnsi="宋体" w:cs="宋体"/>
              </w:rPr>
            </w:pPr>
            <w:r>
              <w:rPr>
                <w:rFonts w:hint="eastAsia" w:ascii="宋体" w:hAnsi="宋体" w:cs="宋体"/>
              </w:rPr>
              <w:t>1、根据《中国人民共和国网络安全法》、等级保护制度要求，以及《信息安全技术 信息安全风险评估方法》（GB/T 20984-2022）等评估标准，对重咨集团进行包括物理安全、人员安全、管理安全、建设安全、运维安全、应用安全等的综合性安全风险评估，以识别集团自身在网络与信息安全管理、建设、运维、运营过程中的脆弱性及面临的风险，对风险进行定级并提出风险处理建议，协助重咨集团建立整改流程、跟踪机制，清晰掌握系统安全整改进度、效果、总体情况。</w:t>
            </w:r>
          </w:p>
          <w:p>
            <w:pPr>
              <w:adjustRightInd w:val="0"/>
              <w:snapToGrid w:val="0"/>
              <w:spacing w:before="187" w:after="187" w:line="400" w:lineRule="exact"/>
              <w:jc w:val="left"/>
              <w:rPr>
                <w:rFonts w:ascii="宋体" w:hAnsi="宋体" w:cs="宋体"/>
              </w:rPr>
            </w:pPr>
            <w:r>
              <w:rPr>
                <w:rFonts w:hint="eastAsia" w:ascii="宋体" w:hAnsi="宋体" w:cs="宋体"/>
              </w:rPr>
              <w:t>2、输出《重咨集团网络与信息安全风险评估问题单》、《重咨集团网络与信息安全风险评估报告》。</w:t>
            </w:r>
          </w:p>
        </w:tc>
        <w:tc>
          <w:tcPr>
            <w:tcW w:w="457"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3</w:t>
            </w:r>
          </w:p>
        </w:tc>
        <w:tc>
          <w:tcPr>
            <w:tcW w:w="769"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数据安全风险评估</w:t>
            </w:r>
          </w:p>
        </w:tc>
        <w:tc>
          <w:tcPr>
            <w:tcW w:w="3264" w:type="pct"/>
            <w:vAlign w:val="center"/>
          </w:tcPr>
          <w:p>
            <w:pPr>
              <w:adjustRightInd w:val="0"/>
              <w:snapToGrid w:val="0"/>
              <w:spacing w:before="187" w:after="187" w:line="400" w:lineRule="exact"/>
              <w:jc w:val="left"/>
              <w:rPr>
                <w:rFonts w:ascii="宋体" w:hAnsi="宋体" w:cs="宋体"/>
              </w:rPr>
            </w:pPr>
            <w:r>
              <w:rPr>
                <w:rFonts w:hint="eastAsia" w:ascii="宋体" w:hAnsi="宋体" w:cs="宋体"/>
              </w:rPr>
              <w:t>1、根据《中华人民共和国数据安全法》、《重庆市数据条例》等法律法规和文件要求，对重咨集团本部的数据资产梳理以及重要信息系统进行数据安全风险评估，协助集团对数据资产分类分级管理、全生命周期安全防护等方面的完善，包括但不限于数据安全管理制度完善、数据资产梳理、数据分类分级、数据处理活动分析、数据全生命周期安全性防护分析。</w:t>
            </w:r>
          </w:p>
          <w:p>
            <w:pPr>
              <w:adjustRightInd w:val="0"/>
              <w:snapToGrid w:val="0"/>
              <w:spacing w:before="187" w:after="187" w:line="400" w:lineRule="exact"/>
              <w:jc w:val="left"/>
              <w:rPr>
                <w:rFonts w:ascii="宋体" w:hAnsi="宋体" w:cs="宋体"/>
              </w:rPr>
            </w:pPr>
            <w:r>
              <w:rPr>
                <w:rFonts w:hint="eastAsia" w:ascii="宋体" w:hAnsi="宋体" w:cs="宋体"/>
              </w:rPr>
              <w:t>2、输出《重咨集团数据资产清单及分类分级目录》、《重咨集团xx系统数据安全风险评估报告》。</w:t>
            </w:r>
          </w:p>
        </w:tc>
        <w:tc>
          <w:tcPr>
            <w:tcW w:w="457"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4</w:t>
            </w:r>
          </w:p>
        </w:tc>
        <w:tc>
          <w:tcPr>
            <w:tcW w:w="769"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安全加固</w:t>
            </w:r>
          </w:p>
        </w:tc>
        <w:tc>
          <w:tcPr>
            <w:tcW w:w="3264" w:type="pct"/>
            <w:vAlign w:val="center"/>
          </w:tcPr>
          <w:p>
            <w:pPr>
              <w:adjustRightInd w:val="0"/>
              <w:snapToGrid w:val="0"/>
              <w:spacing w:before="187" w:after="187" w:line="400" w:lineRule="exact"/>
              <w:jc w:val="left"/>
              <w:rPr>
                <w:rFonts w:ascii="宋体" w:hAnsi="宋体" w:cs="宋体"/>
              </w:rPr>
            </w:pPr>
            <w:r>
              <w:rPr>
                <w:rFonts w:hint="eastAsia" w:ascii="宋体" w:hAnsi="宋体" w:cs="宋体"/>
              </w:rPr>
              <w:t>对在安全评估梳理、定期扫描、渗透测试、等保测评、安全检查中发现的漏洞进行安全加固，指导管理员，协助系统建设单位完成加固，并对加固完成情况进行验证把关。输出《重咨集团安全加固报告》。</w:t>
            </w:r>
          </w:p>
        </w:tc>
        <w:tc>
          <w:tcPr>
            <w:tcW w:w="457"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2次/年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10" w:type="pct"/>
            <w:vAlign w:val="center"/>
          </w:tcPr>
          <w:p>
            <w:pPr>
              <w:adjustRightInd w:val="0"/>
              <w:snapToGrid w:val="0"/>
              <w:spacing w:before="187" w:after="187" w:line="400" w:lineRule="exact"/>
              <w:jc w:val="center"/>
              <w:rPr>
                <w:rFonts w:ascii="宋体" w:hAnsi="宋体" w:cs="宋体"/>
              </w:rPr>
            </w:pPr>
            <w:r>
              <w:rPr>
                <w:rFonts w:ascii="宋体" w:hAnsi="宋体" w:cs="宋体"/>
              </w:rPr>
              <w:t>5</w:t>
            </w:r>
          </w:p>
        </w:tc>
        <w:tc>
          <w:tcPr>
            <w:tcW w:w="769"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定期扫描服务</w:t>
            </w:r>
          </w:p>
        </w:tc>
        <w:tc>
          <w:tcPr>
            <w:tcW w:w="3264" w:type="pct"/>
            <w:vAlign w:val="center"/>
          </w:tcPr>
          <w:p>
            <w:pPr>
              <w:adjustRightInd w:val="0"/>
              <w:snapToGrid w:val="0"/>
              <w:spacing w:before="187" w:after="187" w:line="400" w:lineRule="exact"/>
              <w:jc w:val="left"/>
              <w:rPr>
                <w:rFonts w:ascii="宋体" w:hAnsi="宋体" w:cs="宋体"/>
              </w:rPr>
            </w:pPr>
            <w:r>
              <w:rPr>
                <w:rFonts w:ascii="宋体" w:hAnsi="宋体" w:cs="宋体"/>
              </w:rPr>
              <w:t>1</w:t>
            </w:r>
            <w:r>
              <w:rPr>
                <w:rFonts w:hint="eastAsia" w:ascii="宋体" w:hAnsi="宋体" w:cs="宋体"/>
              </w:rPr>
              <w:t>、对重咨集团基础网络单元、安全设备和主要信息系统，每月进行安全扫描。针对发现的安全问题提供整改建议，出具《重咨集团网络安全漏扫报告》。</w:t>
            </w:r>
          </w:p>
          <w:p>
            <w:pPr>
              <w:adjustRightInd w:val="0"/>
              <w:snapToGrid w:val="0"/>
              <w:spacing w:before="187" w:after="187" w:line="400" w:lineRule="exact"/>
              <w:jc w:val="left"/>
              <w:rPr>
                <w:rFonts w:ascii="宋体" w:hAnsi="宋体" w:cs="宋体"/>
              </w:rPr>
            </w:pPr>
            <w:r>
              <w:rPr>
                <w:rFonts w:ascii="宋体" w:hAnsi="宋体" w:cs="宋体"/>
              </w:rPr>
              <w:t>2</w:t>
            </w:r>
            <w:r>
              <w:rPr>
                <w:rFonts w:hint="eastAsia" w:ascii="宋体" w:hAnsi="宋体" w:cs="宋体"/>
              </w:rPr>
              <w:t>、针对扫描发现的安全隐患，协助重咨集团建立整改跟踪机制，规范整改行为，协助整改安全隐患，让集团能清晰掌握系统安全整改进度、效果、总体情况，按季度输出漏扫分析报告《重咨集团XX季度漏洞扫描分析报告》。</w:t>
            </w:r>
          </w:p>
        </w:tc>
        <w:tc>
          <w:tcPr>
            <w:tcW w:w="457"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1次/月，共12次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adjustRightInd w:val="0"/>
              <w:snapToGrid w:val="0"/>
              <w:spacing w:before="187" w:after="187" w:line="400" w:lineRule="exact"/>
              <w:jc w:val="center"/>
              <w:rPr>
                <w:rFonts w:ascii="宋体" w:hAnsi="宋体" w:cs="宋体"/>
              </w:rPr>
            </w:pPr>
            <w:r>
              <w:rPr>
                <w:rFonts w:ascii="宋体" w:hAnsi="宋体" w:cs="宋体"/>
              </w:rPr>
              <w:t>6</w:t>
            </w:r>
          </w:p>
        </w:tc>
        <w:tc>
          <w:tcPr>
            <w:tcW w:w="769"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定期渗透服务</w:t>
            </w:r>
          </w:p>
        </w:tc>
        <w:tc>
          <w:tcPr>
            <w:tcW w:w="3264" w:type="pct"/>
            <w:vAlign w:val="center"/>
          </w:tcPr>
          <w:p>
            <w:pPr>
              <w:adjustRightInd w:val="0"/>
              <w:snapToGrid w:val="0"/>
              <w:spacing w:before="187" w:after="187" w:line="400" w:lineRule="exact"/>
              <w:jc w:val="left"/>
              <w:rPr>
                <w:rFonts w:ascii="宋体" w:hAnsi="宋体" w:cs="宋体"/>
              </w:rPr>
            </w:pPr>
            <w:r>
              <w:rPr>
                <w:rFonts w:hint="eastAsia" w:ascii="宋体" w:hAnsi="宋体" w:cs="宋体"/>
              </w:rPr>
              <w:t>1、按约定周期开展渗透测试服务，对重咨集团重要信息系统，定期进行安全渗透测试。针对发现的安全问题提供整改建议，出具《重咨集团xx系统渗透测试报告》。</w:t>
            </w:r>
          </w:p>
          <w:p>
            <w:pPr>
              <w:adjustRightInd w:val="0"/>
              <w:snapToGrid w:val="0"/>
              <w:spacing w:before="187" w:after="187" w:line="400" w:lineRule="exact"/>
              <w:jc w:val="left"/>
              <w:rPr>
                <w:rFonts w:ascii="宋体" w:hAnsi="宋体" w:cs="宋体"/>
              </w:rPr>
            </w:pPr>
            <w:r>
              <w:rPr>
                <w:rFonts w:hint="eastAsia" w:ascii="宋体" w:hAnsi="宋体" w:cs="宋体"/>
              </w:rPr>
              <w:t>2、针对渗透发现的安全隐患，协助重咨集团建立整改跟踪机制，规范整改行为，协助整改安全隐患，让重咨集团能清晰掌握系统安全整改进度、效果、总体情况。服务完输出渗透分析报告《重咨集团渗透测试分析报告》。</w:t>
            </w:r>
          </w:p>
        </w:tc>
        <w:tc>
          <w:tcPr>
            <w:tcW w:w="457"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1次/季度，共4次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3" w:hRule="atLeast"/>
          <w:jc w:val="center"/>
        </w:trPr>
        <w:tc>
          <w:tcPr>
            <w:tcW w:w="510"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7</w:t>
            </w:r>
          </w:p>
        </w:tc>
        <w:tc>
          <w:tcPr>
            <w:tcW w:w="769"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安全策略优化</w:t>
            </w:r>
          </w:p>
        </w:tc>
        <w:tc>
          <w:tcPr>
            <w:tcW w:w="3264" w:type="pct"/>
            <w:vAlign w:val="center"/>
          </w:tcPr>
          <w:p>
            <w:pPr>
              <w:adjustRightInd w:val="0"/>
              <w:snapToGrid w:val="0"/>
              <w:spacing w:before="187" w:after="187" w:line="400" w:lineRule="exact"/>
              <w:jc w:val="left"/>
              <w:rPr>
                <w:rFonts w:ascii="宋体" w:hAnsi="宋体" w:cs="宋体"/>
              </w:rPr>
            </w:pPr>
            <w:r>
              <w:rPr>
                <w:rFonts w:hint="eastAsia" w:ascii="宋体" w:hAnsi="宋体" w:cs="宋体"/>
              </w:rPr>
              <w:t>对重要的网络安全设备进行策略核查，根据应用系统的环境对策略进行优化调整，输出《重咨集团策略优化报告》。</w:t>
            </w:r>
          </w:p>
        </w:tc>
        <w:tc>
          <w:tcPr>
            <w:tcW w:w="457"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2次/年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0"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8</w:t>
            </w:r>
          </w:p>
        </w:tc>
        <w:tc>
          <w:tcPr>
            <w:tcW w:w="769"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安全监控服务</w:t>
            </w:r>
          </w:p>
        </w:tc>
        <w:tc>
          <w:tcPr>
            <w:tcW w:w="3264" w:type="pct"/>
            <w:vAlign w:val="center"/>
          </w:tcPr>
          <w:p>
            <w:pPr>
              <w:adjustRightInd w:val="0"/>
              <w:snapToGrid w:val="0"/>
              <w:spacing w:before="187" w:after="187" w:line="400" w:lineRule="exact"/>
              <w:jc w:val="left"/>
              <w:rPr>
                <w:rFonts w:ascii="宋体" w:hAnsi="宋体" w:cs="宋体"/>
              </w:rPr>
            </w:pPr>
            <w:r>
              <w:rPr>
                <w:rFonts w:ascii="宋体" w:hAnsi="宋体" w:cs="宋体"/>
              </w:rPr>
              <w:t>1</w:t>
            </w:r>
            <w:r>
              <w:rPr>
                <w:rFonts w:hint="eastAsia" w:ascii="宋体" w:hAnsi="宋体" w:cs="宋体"/>
              </w:rPr>
              <w:t>、1年365天7×24小时，至少每隔30分钟一次对重咨集团网站群的网站以及咨采平台网站页面进行安全性、可用性持续监控；有效反馈被监控系统的安全状态，及时发现系统被篡改、被植入恶意代码等、网络故障、服务宕机等安全事件；通过电话实时进行安全事件告警。</w:t>
            </w:r>
          </w:p>
          <w:p>
            <w:pPr>
              <w:adjustRightInd w:val="0"/>
              <w:snapToGrid w:val="0"/>
              <w:spacing w:before="187" w:after="187" w:line="400" w:lineRule="exact"/>
              <w:jc w:val="left"/>
              <w:rPr>
                <w:rFonts w:ascii="宋体" w:hAnsi="宋体" w:cs="宋体"/>
              </w:rPr>
            </w:pPr>
            <w:r>
              <w:rPr>
                <w:rFonts w:hint="eastAsia" w:ascii="宋体" w:hAnsi="宋体" w:cs="宋体"/>
              </w:rPr>
              <w:t>2、每半年输出一次监测分析报告《重咨集团网站安全监测分析报告》。</w:t>
            </w:r>
          </w:p>
        </w:tc>
        <w:tc>
          <w:tcPr>
            <w:tcW w:w="457"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0"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9</w:t>
            </w:r>
          </w:p>
        </w:tc>
        <w:tc>
          <w:tcPr>
            <w:tcW w:w="769"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安全培训</w:t>
            </w:r>
          </w:p>
        </w:tc>
        <w:tc>
          <w:tcPr>
            <w:tcW w:w="3264" w:type="pct"/>
            <w:vAlign w:val="center"/>
          </w:tcPr>
          <w:p>
            <w:pPr>
              <w:adjustRightInd w:val="0"/>
              <w:snapToGrid w:val="0"/>
              <w:spacing w:before="187" w:after="187" w:line="400" w:lineRule="exact"/>
              <w:jc w:val="left"/>
              <w:rPr>
                <w:rFonts w:ascii="宋体" w:hAnsi="宋体" w:cs="宋体"/>
              </w:rPr>
            </w:pPr>
            <w:r>
              <w:rPr>
                <w:rFonts w:ascii="宋体" w:hAnsi="宋体" w:cs="宋体"/>
              </w:rPr>
              <w:t>1</w:t>
            </w:r>
            <w:r>
              <w:rPr>
                <w:rFonts w:hint="eastAsia" w:ascii="宋体" w:hAnsi="宋体" w:cs="宋体"/>
              </w:rPr>
              <w:t>、在服务有效期内提供不少于两次安全培训，并提供培训课件。</w:t>
            </w:r>
          </w:p>
          <w:p>
            <w:pPr>
              <w:adjustRightInd w:val="0"/>
              <w:snapToGrid w:val="0"/>
              <w:spacing w:before="187" w:after="187" w:line="400" w:lineRule="exact"/>
              <w:jc w:val="left"/>
              <w:rPr>
                <w:rFonts w:ascii="宋体" w:hAnsi="宋体" w:cs="宋体"/>
              </w:rPr>
            </w:pPr>
            <w:r>
              <w:rPr>
                <w:rFonts w:hint="eastAsia" w:ascii="宋体" w:hAnsi="宋体" w:cs="宋体"/>
              </w:rPr>
              <w:t>2、针对重咨集团全体员工进行网络安全意识培训，提升集团全员网络与信息安全防范意识，不少于4学时。</w:t>
            </w:r>
          </w:p>
          <w:p>
            <w:pPr>
              <w:adjustRightInd w:val="0"/>
              <w:snapToGrid w:val="0"/>
              <w:spacing w:before="187" w:after="187" w:line="400" w:lineRule="exact"/>
              <w:jc w:val="left"/>
              <w:rPr>
                <w:rFonts w:ascii="宋体" w:hAnsi="宋体" w:cs="宋体"/>
              </w:rPr>
            </w:pPr>
            <w:r>
              <w:rPr>
                <w:rFonts w:ascii="宋体" w:hAnsi="宋体" w:cs="宋体"/>
              </w:rPr>
              <w:t>3</w:t>
            </w:r>
            <w:r>
              <w:rPr>
                <w:rFonts w:hint="eastAsia" w:ascii="宋体" w:hAnsi="宋体" w:cs="宋体"/>
              </w:rPr>
              <w:t>、针对重咨集团的技术人员开展进行网络安全涉及的法律法规、政策规定、网络安全防护基础，安全事件处置、安全基线达标、漏洞扫描及渗透测试等方面的培训。培训后运维人员能够掌握基本信息安全知识和工具使用方法，提升运维人员的安全技能，不少于8学时。</w:t>
            </w:r>
          </w:p>
          <w:p>
            <w:pPr>
              <w:adjustRightInd w:val="0"/>
              <w:snapToGrid w:val="0"/>
              <w:spacing w:before="187" w:after="187" w:line="400" w:lineRule="exact"/>
              <w:jc w:val="left"/>
              <w:rPr>
                <w:rFonts w:ascii="宋体" w:hAnsi="宋体" w:cs="宋体"/>
              </w:rPr>
            </w:pPr>
            <w:r>
              <w:rPr>
                <w:rFonts w:hint="eastAsia" w:ascii="宋体" w:hAnsi="宋体" w:cs="宋体"/>
              </w:rPr>
              <w:t>4、输出《重咨集团安全培训课件》、《安全培训记录》、《安全培训考查记录》。</w:t>
            </w:r>
          </w:p>
        </w:tc>
        <w:tc>
          <w:tcPr>
            <w:tcW w:w="457"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2次/年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1</w:t>
            </w:r>
            <w:r>
              <w:rPr>
                <w:rFonts w:ascii="宋体" w:hAnsi="宋体" w:cs="宋体"/>
              </w:rPr>
              <w:t>0</w:t>
            </w:r>
          </w:p>
        </w:tc>
        <w:tc>
          <w:tcPr>
            <w:tcW w:w="769"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应急预案及演练</w:t>
            </w:r>
          </w:p>
        </w:tc>
        <w:tc>
          <w:tcPr>
            <w:tcW w:w="3264" w:type="pct"/>
            <w:vAlign w:val="center"/>
          </w:tcPr>
          <w:p>
            <w:pPr>
              <w:adjustRightInd w:val="0"/>
              <w:snapToGrid w:val="0"/>
              <w:spacing w:before="187" w:after="187" w:line="400" w:lineRule="exact"/>
              <w:jc w:val="left"/>
              <w:rPr>
                <w:rFonts w:ascii="宋体" w:hAnsi="宋体" w:cs="宋体"/>
              </w:rPr>
            </w:pPr>
            <w:r>
              <w:rPr>
                <w:rFonts w:hint="eastAsia" w:ascii="宋体" w:hAnsi="宋体" w:cs="宋体"/>
              </w:rPr>
              <w:t>1、协助完善重咨集团的安全应急预案。</w:t>
            </w:r>
          </w:p>
          <w:p>
            <w:pPr>
              <w:adjustRightInd w:val="0"/>
              <w:snapToGrid w:val="0"/>
              <w:spacing w:before="187" w:after="187" w:line="400" w:lineRule="exact"/>
              <w:jc w:val="left"/>
              <w:rPr>
                <w:rFonts w:ascii="宋体" w:hAnsi="宋体" w:cs="宋体"/>
              </w:rPr>
            </w:pPr>
            <w:r>
              <w:rPr>
                <w:rFonts w:hint="eastAsia" w:ascii="宋体" w:hAnsi="宋体" w:cs="宋体"/>
              </w:rPr>
              <w:t>2、</w:t>
            </w:r>
            <w:r>
              <w:rPr>
                <w:rFonts w:hint="eastAsia" w:ascii="宋体" w:hAnsi="宋体" w:cs="宋体"/>
                <w:lang w:eastAsia="zh-Hans"/>
              </w:rPr>
              <w:t>根据</w:t>
            </w:r>
            <w:r>
              <w:rPr>
                <w:rFonts w:hint="eastAsia" w:ascii="宋体" w:hAnsi="宋体" w:cs="宋体"/>
              </w:rPr>
              <w:t>重咨</w:t>
            </w:r>
            <w:r>
              <w:rPr>
                <w:rFonts w:hint="eastAsia" w:ascii="宋体" w:hAnsi="宋体" w:cs="宋体"/>
                <w:lang w:eastAsia="zh-Hans"/>
              </w:rPr>
              <w:t>集团要求，制定演练计划，编写网络安全应急演练方案，搭建演练环境，安排技术人员到集团</w:t>
            </w:r>
            <w:r>
              <w:rPr>
                <w:rFonts w:hint="eastAsia" w:ascii="宋体" w:hAnsi="宋体" w:cs="宋体"/>
              </w:rPr>
              <w:t>开展现场应急演练，对应急演练存在的不足提出优化建议，协助</w:t>
            </w:r>
            <w:r>
              <w:rPr>
                <w:rFonts w:hint="eastAsia" w:ascii="宋体" w:hAnsi="宋体" w:cs="宋体"/>
                <w:lang w:eastAsia="zh-Hans"/>
              </w:rPr>
              <w:t>集团</w:t>
            </w:r>
            <w:r>
              <w:rPr>
                <w:rFonts w:hint="eastAsia" w:ascii="宋体" w:hAnsi="宋体" w:cs="宋体"/>
              </w:rPr>
              <w:t>提升应对突发网络安全事件的监控能力和处置能力。</w:t>
            </w:r>
          </w:p>
          <w:p>
            <w:pPr>
              <w:adjustRightInd w:val="0"/>
              <w:snapToGrid w:val="0"/>
              <w:spacing w:before="187" w:after="187" w:line="400" w:lineRule="exact"/>
              <w:jc w:val="left"/>
              <w:rPr>
                <w:rFonts w:ascii="宋体" w:hAnsi="宋体" w:cs="宋体"/>
              </w:rPr>
            </w:pPr>
            <w:r>
              <w:rPr>
                <w:rFonts w:ascii="宋体" w:hAnsi="宋体" w:cs="宋体"/>
              </w:rPr>
              <w:t>3</w:t>
            </w:r>
            <w:r>
              <w:rPr>
                <w:rFonts w:hint="eastAsia" w:ascii="宋体" w:hAnsi="宋体" w:cs="宋体"/>
              </w:rPr>
              <w:t>、输出《重咨集团网络与信息安全应急预案》、《重咨集团网络信息与数据安全总体应急预案框架》、《重咨集团XXX事件应急演练方案》、《重咨集团应急演练总结》。</w:t>
            </w:r>
          </w:p>
        </w:tc>
        <w:tc>
          <w:tcPr>
            <w:tcW w:w="457"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1</w:t>
            </w:r>
            <w:r>
              <w:rPr>
                <w:rFonts w:hint="eastAsia" w:ascii="宋体" w:hAnsi="宋体" w:cs="宋体"/>
                <w:lang w:eastAsia="zh-Hans"/>
              </w:rPr>
              <w:t>次</w:t>
            </w:r>
            <w:r>
              <w:rPr>
                <w:rFonts w:hint="eastAsia" w:ascii="宋体" w:hAnsi="宋体" w:cs="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1</w:t>
            </w:r>
            <w:r>
              <w:rPr>
                <w:rFonts w:ascii="宋体" w:hAnsi="宋体" w:cs="宋体"/>
              </w:rPr>
              <w:t>1</w:t>
            </w:r>
          </w:p>
        </w:tc>
        <w:tc>
          <w:tcPr>
            <w:tcW w:w="769"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应急响应</w:t>
            </w:r>
          </w:p>
        </w:tc>
        <w:tc>
          <w:tcPr>
            <w:tcW w:w="3264" w:type="pct"/>
            <w:vAlign w:val="center"/>
          </w:tcPr>
          <w:p>
            <w:pPr>
              <w:adjustRightInd w:val="0"/>
              <w:snapToGrid w:val="0"/>
              <w:spacing w:before="187" w:after="187" w:line="400" w:lineRule="exact"/>
              <w:jc w:val="left"/>
              <w:rPr>
                <w:rFonts w:ascii="宋体" w:hAnsi="宋体" w:cs="宋体"/>
              </w:rPr>
            </w:pPr>
            <w:r>
              <w:rPr>
                <w:rFonts w:hint="eastAsia" w:ascii="宋体" w:hAnsi="宋体" w:cs="宋体"/>
              </w:rPr>
              <w:t>针对外部黑客入侵、数据泄露、木马病毒等突发安全事件时，进行应急响应处理，避免事态恶化。遇到遭遇攻击或网页被篡改等恶性事件，要求1小时内到达现场，实施有效的紧急救援及恢复补救方案。应急响应服务工作完成后，针对此次事件的问题现象、发生原因以及处理过程，预防措施与建议进行总结报告。出具《重咨集团网络安全应急响应报告》。</w:t>
            </w:r>
          </w:p>
        </w:tc>
        <w:tc>
          <w:tcPr>
            <w:tcW w:w="457"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不限次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1</w:t>
            </w:r>
            <w:r>
              <w:rPr>
                <w:rFonts w:ascii="宋体" w:hAnsi="宋体" w:cs="宋体"/>
              </w:rPr>
              <w:t>2</w:t>
            </w:r>
          </w:p>
        </w:tc>
        <w:tc>
          <w:tcPr>
            <w:tcW w:w="769"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安全检查服务</w:t>
            </w:r>
          </w:p>
        </w:tc>
        <w:tc>
          <w:tcPr>
            <w:tcW w:w="3264" w:type="pct"/>
            <w:vAlign w:val="center"/>
          </w:tcPr>
          <w:p>
            <w:pPr>
              <w:adjustRightInd w:val="0"/>
              <w:snapToGrid w:val="0"/>
              <w:spacing w:before="187" w:after="187" w:line="400" w:lineRule="exact"/>
              <w:jc w:val="left"/>
              <w:rPr>
                <w:rFonts w:ascii="宋体" w:hAnsi="宋体" w:cs="宋体"/>
              </w:rPr>
            </w:pPr>
            <w:r>
              <w:rPr>
                <w:rFonts w:hint="eastAsia" w:ascii="宋体" w:hAnsi="宋体" w:cs="宋体"/>
              </w:rPr>
              <w:t>在接受网络安全主管部门检查或上级部门开展网络安全检查期间的自查、差距分析、整改及陪同检查服务、相关工作配合服务。</w:t>
            </w:r>
          </w:p>
        </w:tc>
        <w:tc>
          <w:tcPr>
            <w:tcW w:w="457"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不限次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adjustRightInd w:val="0"/>
              <w:snapToGrid w:val="0"/>
              <w:spacing w:before="187" w:after="187" w:line="400" w:lineRule="exact"/>
              <w:jc w:val="center"/>
              <w:rPr>
                <w:rFonts w:ascii="宋体" w:hAnsi="宋体" w:cs="宋体"/>
              </w:rPr>
            </w:pPr>
            <w:r>
              <w:rPr>
                <w:rFonts w:ascii="宋体" w:hAnsi="宋体" w:cs="宋体"/>
              </w:rPr>
              <w:t>13</w:t>
            </w:r>
          </w:p>
        </w:tc>
        <w:tc>
          <w:tcPr>
            <w:tcW w:w="769"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网络与信息安全专业人员驻场服务</w:t>
            </w:r>
          </w:p>
        </w:tc>
        <w:tc>
          <w:tcPr>
            <w:tcW w:w="3264" w:type="pct"/>
            <w:vAlign w:val="center"/>
          </w:tcPr>
          <w:p>
            <w:pPr>
              <w:adjustRightInd w:val="0"/>
              <w:snapToGrid w:val="0"/>
              <w:spacing w:before="187" w:after="187" w:line="400" w:lineRule="exact"/>
              <w:jc w:val="left"/>
            </w:pPr>
            <w:r>
              <w:rPr>
                <w:rFonts w:hint="eastAsia" w:ascii="宋体" w:hAnsi="宋体" w:cs="宋体"/>
              </w:rPr>
              <w:t>派遣</w:t>
            </w:r>
            <w:r>
              <w:rPr>
                <w:rFonts w:ascii="宋体" w:hAnsi="宋体" w:cs="宋体"/>
              </w:rPr>
              <w:t>1</w:t>
            </w:r>
            <w:r>
              <w:rPr>
                <w:rFonts w:hint="eastAsia" w:ascii="宋体" w:hAnsi="宋体" w:cs="宋体"/>
              </w:rPr>
              <w:t>位具有多年网络与信息安全行业工作经历的</w:t>
            </w:r>
            <w:r>
              <w:rPr>
                <w:rFonts w:hint="eastAsia"/>
              </w:rPr>
              <w:t>安全服务工程师</w:t>
            </w:r>
            <w:r>
              <w:rPr>
                <w:rFonts w:hint="eastAsia" w:ascii="宋体" w:hAnsi="宋体" w:cs="宋体"/>
              </w:rPr>
              <w:t>驻场服务，协助重咨集团开展网络安全、数据安全等相关工作。驻场服务人员需全日制本科及以上学历，安全或计算机相关专业，相关行业工作一年以上，具有网络信息安全相关证书（</w:t>
            </w:r>
            <w:r>
              <w:rPr>
                <w:rFonts w:ascii="宋体" w:hAnsi="宋体" w:cs="宋体"/>
              </w:rPr>
              <w:t>CISP</w:t>
            </w:r>
            <w:r>
              <w:rPr>
                <w:rFonts w:hint="eastAsia" w:ascii="宋体" w:hAnsi="宋体" w:cs="宋体"/>
              </w:rPr>
              <w:t>或</w:t>
            </w:r>
            <w:r>
              <w:rPr>
                <w:rFonts w:ascii="宋体" w:hAnsi="宋体" w:cs="宋体"/>
              </w:rPr>
              <w:t>CISAW</w:t>
            </w:r>
            <w:r>
              <w:rPr>
                <w:rFonts w:hint="eastAsia" w:ascii="宋体" w:hAnsi="宋体" w:cs="宋体"/>
              </w:rPr>
              <w:t>或</w:t>
            </w:r>
            <w:r>
              <w:rPr>
                <w:rFonts w:ascii="宋体" w:hAnsi="宋体" w:cs="宋体"/>
              </w:rPr>
              <w:t>CISSP</w:t>
            </w:r>
            <w:r>
              <w:rPr>
                <w:rFonts w:hint="eastAsia" w:ascii="宋体" w:hAnsi="宋体" w:cs="宋体"/>
              </w:rPr>
              <w:t>），具有相关工作能力。</w:t>
            </w:r>
            <w:r>
              <w:rPr>
                <w:rFonts w:hint="eastAsia"/>
              </w:rPr>
              <w:t>能对集团现有网信数安和商用密码安全性等相关管理制度文件进行修订、完善，并建立一套合规、全面并且符合集团组织机构的安全管理制度体系文件。能结合集团现有业务系统、网络架构、网络和安全策略以及日志进行分析和评估，能找出安全薄弱点，提出符合重咨集团安全需求的网络策略优化建议，并推进网络设备厂商或运维方优化实施。驻场人员工作时间按采购人正常上班时间执行，如遇特殊重大保障，按采购人安排开展工作。根据采购人安排完成相关工作。</w:t>
            </w:r>
            <w:r>
              <w:rPr>
                <w:rFonts w:hint="eastAsia" w:ascii="宋体" w:hAnsi="宋体" w:cs="宋体"/>
              </w:rPr>
              <w:t>在服务期内未经采购人同意，驻场人员不得从事与采购人要求的服务内容无关的其他工作或比选申请人随意更换驻场人员。</w:t>
            </w:r>
          </w:p>
        </w:tc>
        <w:tc>
          <w:tcPr>
            <w:tcW w:w="457" w:type="pct"/>
            <w:vAlign w:val="center"/>
          </w:tcPr>
          <w:p>
            <w:pPr>
              <w:adjustRightInd w:val="0"/>
              <w:snapToGrid w:val="0"/>
              <w:spacing w:before="187" w:after="187" w:line="400" w:lineRule="exact"/>
              <w:jc w:val="center"/>
              <w:rPr>
                <w:rFonts w:ascii="宋体" w:hAnsi="宋体" w:cs="宋体"/>
              </w:rPr>
            </w:pPr>
            <w:r>
              <w:rPr>
                <w:rFonts w:hint="eastAsia" w:ascii="宋体" w:hAnsi="宋体" w:cs="宋体"/>
              </w:rPr>
              <w:t>1人/年</w:t>
            </w:r>
          </w:p>
        </w:tc>
      </w:tr>
    </w:tbl>
    <w:p>
      <w:pPr>
        <w:outlineLvl w:val="0"/>
        <w:rPr>
          <w:rFonts w:ascii="仿宋" w:hAnsi="仿宋" w:eastAsia="仿宋"/>
          <w:b/>
          <w:sz w:val="28"/>
          <w:szCs w:val="28"/>
        </w:rPr>
      </w:pPr>
      <w:r>
        <w:rPr>
          <w:rFonts w:hint="eastAsia" w:ascii="仿宋" w:hAnsi="仿宋" w:eastAsia="仿宋"/>
          <w:b/>
          <w:sz w:val="28"/>
          <w:szCs w:val="28"/>
        </w:rPr>
        <w:t>二、服务期限、地点</w:t>
      </w:r>
    </w:p>
    <w:p>
      <w:pPr>
        <w:ind w:firstLine="560"/>
        <w:rPr>
          <w:rFonts w:ascii="仿宋" w:hAnsi="仿宋" w:eastAsia="仿宋"/>
          <w:sz w:val="28"/>
          <w:szCs w:val="28"/>
        </w:rPr>
      </w:pPr>
      <w:r>
        <w:rPr>
          <w:rFonts w:hint="eastAsia" w:ascii="仿宋" w:hAnsi="仿宋" w:eastAsia="仿宋"/>
          <w:sz w:val="28"/>
          <w:szCs w:val="28"/>
        </w:rPr>
        <w:t>服务期限：</w:t>
      </w:r>
      <w:r>
        <w:rPr>
          <w:rFonts w:hint="eastAsia" w:ascii="仿宋" w:hAnsi="仿宋" w:eastAsia="仿宋"/>
          <w:b/>
          <w:sz w:val="28"/>
          <w:szCs w:val="30"/>
          <w:u w:val="single"/>
        </w:rPr>
        <w:t>202</w:t>
      </w:r>
      <w:r>
        <w:rPr>
          <w:rFonts w:ascii="仿宋" w:hAnsi="仿宋" w:eastAsia="仿宋"/>
          <w:b/>
          <w:sz w:val="28"/>
          <w:szCs w:val="30"/>
          <w:u w:val="single"/>
        </w:rPr>
        <w:t>4</w:t>
      </w:r>
      <w:r>
        <w:rPr>
          <w:rFonts w:hint="eastAsia" w:ascii="仿宋" w:hAnsi="仿宋" w:eastAsia="仿宋"/>
          <w:b/>
          <w:sz w:val="28"/>
          <w:szCs w:val="30"/>
          <w:u w:val="single"/>
        </w:rPr>
        <w:t>年</w:t>
      </w:r>
      <w:r>
        <w:rPr>
          <w:rFonts w:ascii="仿宋" w:hAnsi="仿宋" w:eastAsia="仿宋"/>
          <w:b/>
          <w:sz w:val="28"/>
          <w:szCs w:val="30"/>
          <w:u w:val="single"/>
        </w:rPr>
        <w:t>X</w:t>
      </w:r>
      <w:r>
        <w:rPr>
          <w:rFonts w:hint="eastAsia" w:ascii="仿宋" w:hAnsi="仿宋" w:eastAsia="仿宋"/>
          <w:b/>
          <w:sz w:val="28"/>
          <w:szCs w:val="30"/>
          <w:u w:val="single"/>
        </w:rPr>
        <w:t>月</w:t>
      </w:r>
      <w:r>
        <w:rPr>
          <w:rFonts w:ascii="仿宋" w:hAnsi="仿宋" w:eastAsia="仿宋"/>
          <w:b/>
          <w:sz w:val="28"/>
          <w:szCs w:val="30"/>
          <w:u w:val="single"/>
        </w:rPr>
        <w:t>X</w:t>
      </w:r>
      <w:r>
        <w:rPr>
          <w:rFonts w:hint="eastAsia" w:ascii="仿宋" w:hAnsi="仿宋" w:eastAsia="仿宋"/>
          <w:b/>
          <w:sz w:val="28"/>
          <w:szCs w:val="30"/>
          <w:u w:val="single"/>
        </w:rPr>
        <w:t>日至</w:t>
      </w:r>
      <w:r>
        <w:rPr>
          <w:rFonts w:hint="eastAsia" w:ascii="仿宋" w:hAnsi="仿宋" w:eastAsia="仿宋"/>
          <w:b/>
          <w:color w:val="000000"/>
          <w:sz w:val="28"/>
          <w:szCs w:val="30"/>
          <w:u w:val="single"/>
        </w:rPr>
        <w:t>20</w:t>
      </w:r>
      <w:r>
        <w:rPr>
          <w:rFonts w:hint="eastAsia" w:ascii="仿宋" w:hAnsi="仿宋" w:eastAsia="仿宋"/>
          <w:b/>
          <w:sz w:val="28"/>
          <w:szCs w:val="30"/>
          <w:u w:val="single"/>
        </w:rPr>
        <w:t>2</w:t>
      </w:r>
      <w:r>
        <w:rPr>
          <w:rFonts w:ascii="仿宋" w:hAnsi="仿宋" w:eastAsia="仿宋"/>
          <w:b/>
          <w:sz w:val="28"/>
          <w:szCs w:val="30"/>
          <w:u w:val="single"/>
        </w:rPr>
        <w:t>5</w:t>
      </w:r>
      <w:r>
        <w:rPr>
          <w:rFonts w:hint="eastAsia" w:ascii="仿宋" w:hAnsi="仿宋" w:eastAsia="仿宋"/>
          <w:b/>
          <w:sz w:val="28"/>
          <w:szCs w:val="30"/>
          <w:u w:val="single"/>
        </w:rPr>
        <w:t>年</w:t>
      </w:r>
      <w:r>
        <w:rPr>
          <w:rFonts w:ascii="仿宋" w:hAnsi="仿宋" w:eastAsia="仿宋"/>
          <w:b/>
          <w:sz w:val="28"/>
          <w:szCs w:val="30"/>
          <w:u w:val="single"/>
        </w:rPr>
        <w:t>X</w:t>
      </w:r>
      <w:r>
        <w:rPr>
          <w:rFonts w:hint="eastAsia" w:ascii="仿宋" w:hAnsi="仿宋" w:eastAsia="仿宋"/>
          <w:b/>
          <w:sz w:val="28"/>
          <w:szCs w:val="30"/>
          <w:u w:val="single"/>
        </w:rPr>
        <w:t>月</w:t>
      </w:r>
      <w:r>
        <w:rPr>
          <w:rFonts w:ascii="仿宋" w:hAnsi="仿宋" w:eastAsia="仿宋"/>
          <w:b/>
          <w:sz w:val="28"/>
          <w:szCs w:val="30"/>
          <w:u w:val="single"/>
        </w:rPr>
        <w:t>X</w:t>
      </w:r>
      <w:r>
        <w:rPr>
          <w:rFonts w:hint="eastAsia" w:ascii="仿宋" w:hAnsi="仿宋" w:eastAsia="仿宋"/>
          <w:b/>
          <w:sz w:val="28"/>
          <w:szCs w:val="30"/>
          <w:u w:val="single"/>
        </w:rPr>
        <w:t>日</w:t>
      </w:r>
      <w:r>
        <w:rPr>
          <w:rFonts w:hint="eastAsia" w:ascii="仿宋" w:hAnsi="仿宋" w:eastAsia="仿宋"/>
          <w:sz w:val="28"/>
          <w:szCs w:val="28"/>
        </w:rPr>
        <w:t>。</w:t>
      </w:r>
    </w:p>
    <w:p>
      <w:pPr>
        <w:ind w:firstLine="560"/>
        <w:rPr>
          <w:rFonts w:ascii="仿宋" w:hAnsi="仿宋" w:eastAsia="仿宋" w:cs="宋体"/>
          <w:sz w:val="28"/>
          <w:szCs w:val="28"/>
        </w:rPr>
      </w:pPr>
      <w:r>
        <w:rPr>
          <w:rFonts w:hint="eastAsia" w:ascii="仿宋" w:hAnsi="仿宋" w:eastAsia="仿宋"/>
          <w:sz w:val="28"/>
          <w:szCs w:val="28"/>
        </w:rPr>
        <w:t>服务地点：重庆市江北区五简路2号。</w:t>
      </w:r>
    </w:p>
    <w:p>
      <w:pPr>
        <w:ind w:firstLine="560"/>
        <w:rPr>
          <w:rFonts w:ascii="仿宋" w:hAnsi="仿宋" w:eastAsia="仿宋"/>
          <w:sz w:val="28"/>
          <w:szCs w:val="28"/>
          <w:u w:val="single"/>
        </w:rPr>
      </w:pPr>
      <w:r>
        <w:rPr>
          <w:rFonts w:hint="eastAsia" w:ascii="仿宋" w:hAnsi="仿宋" w:eastAsia="仿宋"/>
          <w:sz w:val="28"/>
          <w:szCs w:val="28"/>
        </w:rPr>
        <w:t>甲方对接人：</w:t>
      </w:r>
      <w:r>
        <w:rPr>
          <w:rFonts w:hint="eastAsia" w:ascii="仿宋" w:hAnsi="仿宋" w:eastAsia="仿宋"/>
          <w:sz w:val="28"/>
          <w:szCs w:val="28"/>
          <w:u w:val="single"/>
        </w:rPr>
        <w:t xml:space="preserve">   </w:t>
      </w:r>
      <w:r>
        <w:rPr>
          <w:rFonts w:hint="eastAsia" w:ascii="仿宋" w:hAnsi="仿宋" w:eastAsia="仿宋"/>
          <w:sz w:val="28"/>
          <w:szCs w:val="28"/>
        </w:rPr>
        <w:t>，电话：</w:t>
      </w:r>
      <w:r>
        <w:rPr>
          <w:rFonts w:ascii="仿宋" w:hAnsi="仿宋" w:eastAsia="仿宋"/>
          <w:sz w:val="28"/>
          <w:szCs w:val="28"/>
          <w:u w:val="single"/>
        </w:rPr>
        <w:t xml:space="preserve">   </w:t>
      </w:r>
    </w:p>
    <w:p>
      <w:pPr>
        <w:pStyle w:val="3"/>
        <w:ind w:firstLine="560"/>
        <w:rPr>
          <w:u w:val="single"/>
        </w:rPr>
      </w:pPr>
      <w:r>
        <w:rPr>
          <w:rFonts w:hint="eastAsia"/>
        </w:rPr>
        <w:t>乙方对接人：</w:t>
      </w:r>
      <w:r>
        <w:rPr>
          <w:rFonts w:hint="eastAsia"/>
          <w:u w:val="single"/>
        </w:rPr>
        <w:t xml:space="preserve"> </w:t>
      </w:r>
      <w:r>
        <w:rPr>
          <w:u w:val="single"/>
        </w:rPr>
        <w:t xml:space="preserve">  </w:t>
      </w:r>
      <w:r>
        <w:rPr>
          <w:rFonts w:hint="eastAsia" w:ascii="仿宋" w:hAnsi="仿宋" w:eastAsia="仿宋"/>
        </w:rPr>
        <w:t>，电话：</w:t>
      </w:r>
      <w:r>
        <w:rPr>
          <w:rFonts w:ascii="仿宋" w:hAnsi="仿宋" w:eastAsia="仿宋"/>
          <w:u w:val="single"/>
        </w:rPr>
        <w:t xml:space="preserve">   </w:t>
      </w:r>
    </w:p>
    <w:p>
      <w:pPr>
        <w:outlineLvl w:val="0"/>
        <w:rPr>
          <w:rFonts w:ascii="仿宋" w:hAnsi="仿宋" w:eastAsia="仿宋"/>
          <w:b/>
          <w:sz w:val="28"/>
          <w:szCs w:val="28"/>
        </w:rPr>
      </w:pPr>
      <w:r>
        <w:rPr>
          <w:rFonts w:hint="eastAsia" w:ascii="仿宋" w:hAnsi="仿宋" w:eastAsia="仿宋"/>
          <w:b/>
          <w:sz w:val="28"/>
          <w:szCs w:val="28"/>
        </w:rPr>
        <w:t>三、付款方式</w:t>
      </w:r>
    </w:p>
    <w:p>
      <w:pPr>
        <w:numPr>
          <w:ilvl w:val="0"/>
          <w:numId w:val="4"/>
        </w:numPr>
        <w:adjustRightInd w:val="0"/>
        <w:spacing w:line="360" w:lineRule="auto"/>
        <w:textAlignment w:val="baseline"/>
        <w:rPr>
          <w:rFonts w:ascii="仿宋" w:hAnsi="仿宋" w:eastAsia="仿宋"/>
          <w:sz w:val="28"/>
          <w:szCs w:val="30"/>
        </w:rPr>
      </w:pPr>
      <w:r>
        <w:rPr>
          <w:rFonts w:ascii="仿宋" w:hAnsi="仿宋" w:eastAsia="仿宋"/>
          <w:sz w:val="28"/>
          <w:szCs w:val="30"/>
        </w:rPr>
        <w:t>本</w:t>
      </w:r>
      <w:r>
        <w:rPr>
          <w:rFonts w:hint="eastAsia" w:ascii="仿宋" w:hAnsi="仿宋" w:eastAsia="仿宋"/>
          <w:sz w:val="28"/>
          <w:szCs w:val="30"/>
        </w:rPr>
        <w:t>合同服务</w:t>
      </w:r>
      <w:r>
        <w:rPr>
          <w:rFonts w:ascii="仿宋" w:hAnsi="仿宋" w:eastAsia="仿宋"/>
          <w:sz w:val="28"/>
          <w:szCs w:val="30"/>
        </w:rPr>
        <w:t>费</w:t>
      </w:r>
      <w:r>
        <w:rPr>
          <w:rFonts w:hint="eastAsia" w:ascii="仿宋" w:hAnsi="仿宋" w:eastAsia="仿宋"/>
          <w:sz w:val="28"/>
          <w:szCs w:val="30"/>
        </w:rPr>
        <w:t>总额</w:t>
      </w:r>
      <w:r>
        <w:rPr>
          <w:rFonts w:hint="eastAsia" w:ascii="仿宋" w:hAnsi="仿宋" w:eastAsia="仿宋"/>
          <w:color w:val="000000"/>
          <w:sz w:val="28"/>
          <w:szCs w:val="30"/>
        </w:rPr>
        <w:t>：</w:t>
      </w:r>
      <w:r>
        <w:rPr>
          <w:rFonts w:hint="eastAsia" w:ascii="仿宋" w:hAnsi="仿宋" w:eastAsia="仿宋"/>
          <w:b/>
          <w:color w:val="000000"/>
          <w:sz w:val="28"/>
          <w:szCs w:val="30"/>
          <w:u w:val="single"/>
        </w:rPr>
        <w:t>￥xxxx元</w:t>
      </w:r>
      <w:r>
        <w:rPr>
          <w:rFonts w:hint="eastAsia" w:ascii="仿宋" w:hAnsi="仿宋" w:eastAsia="仿宋"/>
          <w:color w:val="000000"/>
          <w:sz w:val="28"/>
          <w:szCs w:val="30"/>
        </w:rPr>
        <w:t>（大写：xxxxx）。</w:t>
      </w:r>
    </w:p>
    <w:p>
      <w:pPr>
        <w:widowControl/>
        <w:numPr>
          <w:ilvl w:val="0"/>
          <w:numId w:val="4"/>
        </w:numPr>
        <w:adjustRightInd w:val="0"/>
        <w:spacing w:line="360" w:lineRule="auto"/>
        <w:jc w:val="left"/>
        <w:textAlignment w:val="baseline"/>
        <w:rPr>
          <w:rFonts w:ascii="仿宋" w:hAnsi="仿宋" w:eastAsia="仿宋"/>
          <w:color w:val="000000"/>
          <w:sz w:val="28"/>
          <w:szCs w:val="28"/>
        </w:rPr>
      </w:pPr>
      <w:r>
        <w:rPr>
          <w:rFonts w:hint="eastAsia" w:ascii="仿宋" w:hAnsi="仿宋" w:eastAsia="仿宋"/>
          <w:sz w:val="28"/>
          <w:szCs w:val="30"/>
        </w:rPr>
        <w:t>支付方式</w:t>
      </w:r>
    </w:p>
    <w:p>
      <w:pPr>
        <w:widowControl/>
        <w:ind w:firstLine="560"/>
        <w:jc w:val="left"/>
        <w:rPr>
          <w:rFonts w:ascii="仿宋" w:hAnsi="仿宋" w:eastAsia="仿宋"/>
          <w:color w:val="000000"/>
          <w:sz w:val="28"/>
          <w:szCs w:val="30"/>
        </w:rPr>
      </w:pPr>
      <w:r>
        <w:rPr>
          <w:rFonts w:hint="eastAsia" w:ascii="仿宋" w:hAnsi="仿宋" w:eastAsia="仿宋"/>
          <w:color w:val="000000"/>
          <w:sz w:val="28"/>
          <w:szCs w:val="30"/>
        </w:rPr>
        <w:t xml:space="preserve">1、合同签订后 10 个工作日内，甲方向乙方支付合同总额的 30%； </w:t>
      </w:r>
    </w:p>
    <w:p>
      <w:pPr>
        <w:widowControl/>
        <w:ind w:firstLine="560"/>
        <w:jc w:val="left"/>
        <w:rPr>
          <w:rFonts w:ascii="仿宋" w:hAnsi="仿宋" w:eastAsia="仿宋"/>
          <w:color w:val="000000"/>
          <w:sz w:val="28"/>
          <w:szCs w:val="30"/>
        </w:rPr>
      </w:pPr>
      <w:r>
        <w:rPr>
          <w:rFonts w:hint="eastAsia" w:ascii="仿宋" w:hAnsi="仿宋" w:eastAsia="仿宋"/>
          <w:color w:val="000000"/>
          <w:sz w:val="28"/>
          <w:szCs w:val="30"/>
        </w:rPr>
        <w:t>2、乙方完成安全基础梳理和摸底、网络与信息安全风险评估和数据安全风险评估，出具相应报告，通过甲方验收后 10 个工作日内，甲方向乙方支付合同总额的30%；</w:t>
      </w:r>
    </w:p>
    <w:p>
      <w:pPr>
        <w:widowControl/>
        <w:ind w:firstLine="560"/>
        <w:jc w:val="left"/>
        <w:rPr>
          <w:rFonts w:ascii="仿宋" w:hAnsi="仿宋" w:eastAsia="仿宋"/>
          <w:color w:val="000000"/>
          <w:sz w:val="28"/>
          <w:szCs w:val="30"/>
        </w:rPr>
      </w:pPr>
      <w:r>
        <w:rPr>
          <w:rFonts w:hint="eastAsia" w:ascii="仿宋" w:hAnsi="仿宋" w:eastAsia="仿宋"/>
          <w:color w:val="000000"/>
          <w:sz w:val="28"/>
          <w:szCs w:val="30"/>
        </w:rPr>
        <w:t>3、乙方完成全部服务内容且无违约情形，并提交相关成果文件后10个工作日内，甲方向乙方支付合同总额的 40%。</w:t>
      </w:r>
    </w:p>
    <w:p>
      <w:pPr>
        <w:widowControl/>
        <w:ind w:firstLine="560"/>
        <w:jc w:val="left"/>
        <w:rPr>
          <w:rFonts w:ascii="仿宋" w:hAnsi="仿宋" w:eastAsia="仿宋"/>
          <w:color w:val="000000"/>
          <w:sz w:val="28"/>
          <w:szCs w:val="30"/>
        </w:rPr>
      </w:pPr>
      <w:r>
        <w:rPr>
          <w:rFonts w:hint="eastAsia" w:eastAsia="仿宋"/>
          <w:sz w:val="28"/>
          <w:szCs w:val="28"/>
        </w:rPr>
        <w:t>乙方向甲方提供相应款项增值税专用发票，甲方收到发票后完成相应费用支付。</w:t>
      </w:r>
    </w:p>
    <w:p>
      <w:pPr>
        <w:numPr>
          <w:ilvl w:val="0"/>
          <w:numId w:val="4"/>
        </w:numPr>
        <w:adjustRightInd w:val="0"/>
        <w:spacing w:line="360" w:lineRule="auto"/>
        <w:textAlignment w:val="baseline"/>
        <w:rPr>
          <w:rFonts w:ascii="仿宋" w:hAnsi="仿宋" w:eastAsia="仿宋"/>
          <w:color w:val="000000"/>
          <w:sz w:val="28"/>
          <w:szCs w:val="30"/>
        </w:rPr>
      </w:pPr>
      <w:r>
        <w:rPr>
          <w:rFonts w:hint="eastAsia" w:ascii="仿宋" w:hAnsi="仿宋" w:eastAsia="仿宋"/>
          <w:color w:val="000000"/>
          <w:sz w:val="28"/>
          <w:szCs w:val="30"/>
        </w:rPr>
        <w:t>乙方开户银行名称、地址和帐号为：</w:t>
      </w:r>
    </w:p>
    <w:p>
      <w:pPr>
        <w:ind w:firstLine="520" w:firstLineChars="186"/>
        <w:rPr>
          <w:rFonts w:ascii="仿宋" w:hAnsi="仿宋" w:eastAsia="仿宋"/>
          <w:color w:val="000000"/>
          <w:sz w:val="28"/>
          <w:szCs w:val="30"/>
        </w:rPr>
      </w:pPr>
      <w:r>
        <w:rPr>
          <w:rFonts w:hint="eastAsia" w:ascii="仿宋" w:hAnsi="仿宋" w:eastAsia="仿宋"/>
          <w:color w:val="000000"/>
          <w:sz w:val="28"/>
          <w:szCs w:val="30"/>
        </w:rPr>
        <w:t xml:space="preserve">       开户银行：</w:t>
      </w:r>
      <w:r>
        <w:rPr>
          <w:rFonts w:hint="eastAsia" w:ascii="仿宋" w:hAnsi="仿宋" w:eastAsia="仿宋"/>
          <w:color w:val="000000"/>
          <w:sz w:val="28"/>
          <w:szCs w:val="30"/>
          <w:u w:val="single"/>
        </w:rPr>
        <w:t xml:space="preserve">  </w:t>
      </w:r>
      <w:r>
        <w:rPr>
          <w:rFonts w:ascii="仿宋" w:hAnsi="仿宋" w:eastAsia="仿宋"/>
          <w:color w:val="000000"/>
          <w:sz w:val="28"/>
          <w:szCs w:val="30"/>
          <w:u w:val="single"/>
        </w:rPr>
        <w:t xml:space="preserve">              </w:t>
      </w:r>
      <w:r>
        <w:rPr>
          <w:rFonts w:hint="eastAsia" w:ascii="仿宋" w:hAnsi="仿宋" w:eastAsia="仿宋"/>
          <w:color w:val="000000"/>
          <w:sz w:val="28"/>
          <w:szCs w:val="30"/>
          <w:u w:val="single"/>
        </w:rPr>
        <w:t xml:space="preserve"> </w:t>
      </w:r>
      <w:r>
        <w:rPr>
          <w:rFonts w:hint="eastAsia" w:ascii="仿宋" w:hAnsi="仿宋" w:eastAsia="仿宋"/>
          <w:color w:val="000000"/>
          <w:sz w:val="28"/>
          <w:szCs w:val="30"/>
        </w:rPr>
        <w:t xml:space="preserve">                                    </w:t>
      </w:r>
    </w:p>
    <w:p>
      <w:pPr>
        <w:ind w:firstLine="520" w:firstLineChars="186"/>
        <w:rPr>
          <w:rFonts w:ascii="仿宋" w:hAnsi="仿宋" w:eastAsia="仿宋"/>
          <w:color w:val="000000"/>
          <w:sz w:val="28"/>
          <w:szCs w:val="30"/>
        </w:rPr>
      </w:pPr>
      <w:r>
        <w:rPr>
          <w:rFonts w:hint="eastAsia" w:ascii="仿宋" w:hAnsi="仿宋" w:eastAsia="仿宋"/>
          <w:color w:val="000000"/>
          <w:sz w:val="28"/>
          <w:szCs w:val="30"/>
        </w:rPr>
        <w:t xml:space="preserve">       地    址：</w:t>
      </w:r>
      <w:r>
        <w:rPr>
          <w:rFonts w:hint="eastAsia" w:ascii="仿宋" w:hAnsi="仿宋" w:eastAsia="仿宋"/>
          <w:color w:val="000000"/>
          <w:sz w:val="28"/>
          <w:szCs w:val="30"/>
          <w:u w:val="single"/>
        </w:rPr>
        <w:t xml:space="preserve">  </w:t>
      </w:r>
      <w:r>
        <w:rPr>
          <w:rFonts w:ascii="仿宋" w:hAnsi="仿宋" w:eastAsia="仿宋"/>
          <w:color w:val="000000"/>
          <w:sz w:val="28"/>
          <w:szCs w:val="30"/>
          <w:u w:val="single"/>
        </w:rPr>
        <w:t xml:space="preserve">              </w:t>
      </w:r>
      <w:r>
        <w:rPr>
          <w:rFonts w:hint="eastAsia" w:ascii="仿宋" w:hAnsi="仿宋" w:eastAsia="仿宋"/>
          <w:color w:val="000000"/>
          <w:sz w:val="28"/>
          <w:szCs w:val="30"/>
        </w:rPr>
        <w:t xml:space="preserve">                           </w:t>
      </w:r>
    </w:p>
    <w:p>
      <w:pPr>
        <w:widowControl/>
        <w:ind w:firstLine="560"/>
        <w:jc w:val="left"/>
        <w:rPr>
          <w:rFonts w:ascii="仿宋" w:hAnsi="仿宋" w:eastAsia="仿宋" w:cs="宋体"/>
          <w:kern w:val="0"/>
          <w:sz w:val="28"/>
          <w:szCs w:val="28"/>
        </w:rPr>
      </w:pPr>
      <w:r>
        <w:rPr>
          <w:rFonts w:hint="eastAsia" w:ascii="仿宋" w:hAnsi="仿宋" w:eastAsia="仿宋"/>
          <w:color w:val="000000"/>
          <w:sz w:val="28"/>
          <w:szCs w:val="30"/>
        </w:rPr>
        <w:t xml:space="preserve">      </w:t>
      </w:r>
      <w:r>
        <w:rPr>
          <w:rFonts w:ascii="仿宋" w:hAnsi="仿宋" w:eastAsia="仿宋"/>
          <w:color w:val="000000"/>
          <w:sz w:val="28"/>
          <w:szCs w:val="30"/>
        </w:rPr>
        <w:t xml:space="preserve"> </w:t>
      </w:r>
      <w:r>
        <w:rPr>
          <w:rFonts w:hint="eastAsia" w:ascii="仿宋" w:hAnsi="仿宋" w:eastAsia="仿宋"/>
          <w:color w:val="000000"/>
          <w:sz w:val="28"/>
          <w:szCs w:val="30"/>
        </w:rPr>
        <w:t>帐    号：</w:t>
      </w:r>
      <w:r>
        <w:rPr>
          <w:rFonts w:hint="eastAsia" w:ascii="仿宋" w:hAnsi="仿宋" w:eastAsia="仿宋"/>
          <w:color w:val="000000"/>
          <w:sz w:val="28"/>
          <w:szCs w:val="30"/>
          <w:u w:val="single"/>
        </w:rPr>
        <w:t xml:space="preserve"> </w:t>
      </w:r>
      <w:r>
        <w:rPr>
          <w:rFonts w:ascii="仿宋" w:hAnsi="仿宋" w:eastAsia="仿宋"/>
          <w:color w:val="000000"/>
          <w:sz w:val="28"/>
          <w:szCs w:val="30"/>
          <w:u w:val="single"/>
        </w:rPr>
        <w:t xml:space="preserve">                    </w:t>
      </w:r>
      <w:r>
        <w:rPr>
          <w:rFonts w:hint="eastAsia" w:ascii="仿宋" w:hAnsi="仿宋" w:eastAsia="仿宋"/>
          <w:color w:val="000000"/>
          <w:sz w:val="28"/>
          <w:szCs w:val="30"/>
        </w:rPr>
        <w:t xml:space="preserve">    </w:t>
      </w:r>
    </w:p>
    <w:p>
      <w:pPr>
        <w:outlineLvl w:val="0"/>
        <w:rPr>
          <w:rFonts w:ascii="仿宋" w:hAnsi="仿宋" w:eastAsia="仿宋"/>
          <w:b/>
          <w:sz w:val="28"/>
          <w:szCs w:val="28"/>
        </w:rPr>
      </w:pPr>
      <w:r>
        <w:rPr>
          <w:rFonts w:hint="eastAsia" w:ascii="仿宋" w:hAnsi="仿宋" w:eastAsia="仿宋"/>
          <w:b/>
          <w:sz w:val="28"/>
          <w:szCs w:val="28"/>
        </w:rPr>
        <w:t>四、双方的权利和义务</w:t>
      </w:r>
    </w:p>
    <w:p>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jc w:val="left"/>
        <w:textAlignment w:val="baseline"/>
        <w:rPr>
          <w:rFonts w:ascii="仿宋" w:hAnsi="仿宋" w:eastAsia="仿宋"/>
          <w:color w:val="000000"/>
          <w:sz w:val="28"/>
          <w:szCs w:val="30"/>
        </w:rPr>
      </w:pPr>
      <w:r>
        <w:rPr>
          <w:rFonts w:ascii="仿宋" w:hAnsi="仿宋" w:eastAsia="仿宋"/>
          <w:color w:val="000000"/>
          <w:sz w:val="28"/>
          <w:szCs w:val="30"/>
        </w:rPr>
        <w:t>甲方的权利和义务</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jc w:val="left"/>
        <w:rPr>
          <w:rFonts w:ascii="仿宋" w:hAnsi="仿宋" w:eastAsia="仿宋" w:cs="宋体"/>
          <w:kern w:val="0"/>
          <w:sz w:val="28"/>
          <w:szCs w:val="28"/>
        </w:rPr>
      </w:pPr>
      <w:r>
        <w:rPr>
          <w:rFonts w:hint="eastAsia" w:ascii="仿宋" w:hAnsi="仿宋" w:eastAsia="仿宋" w:cs="宋体"/>
          <w:kern w:val="0"/>
          <w:sz w:val="28"/>
          <w:szCs w:val="28"/>
        </w:rPr>
        <w:t>1、甲方依据合同按时支付相应价款。</w:t>
      </w:r>
    </w:p>
    <w:p>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jc w:val="left"/>
        <w:textAlignment w:val="baseline"/>
        <w:rPr>
          <w:rFonts w:ascii="仿宋" w:hAnsi="仿宋" w:eastAsia="仿宋"/>
          <w:color w:val="000000"/>
          <w:sz w:val="28"/>
          <w:szCs w:val="30"/>
        </w:rPr>
      </w:pPr>
      <w:r>
        <w:rPr>
          <w:rFonts w:ascii="仿宋" w:hAnsi="仿宋" w:eastAsia="仿宋"/>
          <w:color w:val="000000"/>
          <w:sz w:val="28"/>
          <w:szCs w:val="30"/>
        </w:rPr>
        <w:t>乙方的权利和义务</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jc w:val="left"/>
        <w:rPr>
          <w:rFonts w:ascii="仿宋" w:hAnsi="仿宋" w:eastAsia="仿宋" w:cs="宋体"/>
          <w:kern w:val="0"/>
          <w:sz w:val="28"/>
          <w:szCs w:val="28"/>
        </w:rPr>
      </w:pPr>
      <w:r>
        <w:rPr>
          <w:rFonts w:hint="eastAsia" w:ascii="仿宋" w:hAnsi="仿宋" w:eastAsia="仿宋" w:cs="宋体"/>
          <w:kern w:val="0"/>
          <w:sz w:val="28"/>
          <w:szCs w:val="28"/>
        </w:rPr>
        <w:t>1、乙方</w:t>
      </w:r>
      <w:r>
        <w:rPr>
          <w:rFonts w:ascii="仿宋" w:hAnsi="仿宋" w:eastAsia="仿宋" w:cs="宋体"/>
          <w:kern w:val="0"/>
          <w:sz w:val="28"/>
          <w:szCs w:val="28"/>
        </w:rPr>
        <w:t>根据甲方的要求和本合同的约定，</w:t>
      </w:r>
      <w:r>
        <w:rPr>
          <w:rFonts w:hint="eastAsia" w:ascii="仿宋" w:hAnsi="仿宋" w:eastAsia="仿宋" w:cs="宋体"/>
          <w:kern w:val="0"/>
          <w:sz w:val="28"/>
          <w:szCs w:val="28"/>
        </w:rPr>
        <w:t>按时开展相关服务。</w:t>
      </w:r>
    </w:p>
    <w:p>
      <w:pPr>
        <w:pStyle w:val="3"/>
        <w:ind w:firstLine="560"/>
        <w:rPr>
          <w:rFonts w:ascii="仿宋" w:hAnsi="仿宋" w:eastAsia="仿宋"/>
          <w:kern w:val="0"/>
        </w:rPr>
      </w:pPr>
      <w:r>
        <w:rPr>
          <w:rFonts w:hint="eastAsia" w:ascii="仿宋" w:hAnsi="仿宋" w:eastAsia="仿宋"/>
          <w:kern w:val="0"/>
        </w:rPr>
        <w:t>2、乙方派遣至少1位具有多年网络与信息安全行业工作经历的安全服务工程师驻场服务，协助重咨集团开展网络安全、数据安全等相关工作。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jc w:val="left"/>
        <w:rPr>
          <w:rFonts w:ascii="仿宋" w:hAnsi="仿宋" w:eastAsia="仿宋" w:cs="宋体"/>
          <w:kern w:val="0"/>
          <w:sz w:val="28"/>
          <w:szCs w:val="28"/>
        </w:rPr>
      </w:pPr>
      <w:r>
        <w:rPr>
          <w:rFonts w:hint="eastAsia" w:ascii="仿宋" w:hAnsi="仿宋" w:eastAsia="仿宋" w:cs="宋体"/>
          <w:kern w:val="0"/>
          <w:sz w:val="28"/>
          <w:szCs w:val="28"/>
        </w:rPr>
        <w:t>3、乙方应组织满足岗位技能要求（1、全日制本科及以上学历，安全或计算机相关专业；2、相关行业工作一年以上；3、具有网络信息安全相关证书（CISP或CISAW或CISSP）；4、有该岗位相适应的IT能力）的人员到甲方指定地点开展工作，服从甲方工作安排，并保证在该项目实施完成前相应人员不能撤离实施现场。</w:t>
      </w:r>
    </w:p>
    <w:p>
      <w:pPr>
        <w:pStyle w:val="3"/>
        <w:ind w:firstLine="560"/>
        <w:rPr>
          <w:rFonts w:ascii="仿宋" w:hAnsi="仿宋" w:eastAsia="仿宋"/>
          <w:kern w:val="0"/>
        </w:rPr>
      </w:pPr>
      <w:r>
        <w:rPr>
          <w:rFonts w:hint="eastAsia" w:ascii="仿宋" w:hAnsi="仿宋" w:eastAsia="仿宋"/>
          <w:kern w:val="0"/>
        </w:rPr>
        <w:t>4、乙方安排的人员在工作期间，必须服从甲方的工作规定和安全管理制度。若乙方工作人员不服从甲方管理，乙方应按照甲方的更换要求，更换相应人员；若乙方工作人员不服从甲方管理，给甲方造成其他后果，甲方则有权解除本合同并向乙方提出损失索赔。</w:t>
      </w:r>
    </w:p>
    <w:p>
      <w:pPr>
        <w:pStyle w:val="3"/>
        <w:ind w:firstLine="560"/>
        <w:rPr>
          <w:rFonts w:ascii="仿宋" w:hAnsi="仿宋" w:eastAsia="仿宋"/>
          <w:kern w:val="0"/>
        </w:rPr>
      </w:pPr>
      <w:r>
        <w:rPr>
          <w:rFonts w:ascii="仿宋" w:hAnsi="仿宋" w:eastAsia="仿宋"/>
          <w:kern w:val="0"/>
        </w:rPr>
        <w:t>5</w:t>
      </w:r>
      <w:r>
        <w:rPr>
          <w:rFonts w:hint="eastAsia" w:ascii="仿宋" w:hAnsi="仿宋" w:eastAsia="仿宋"/>
          <w:kern w:val="0"/>
        </w:rPr>
        <w:t>、乙方应当对自己所指派的人员开展安全教育工作，做好安全保障措施。该人员所发生的身体健康、人身安全、财产安全事故以及产生的费用、经济损失、经济赔偿责任由乙方自行承担，与甲方无关。</w:t>
      </w:r>
    </w:p>
    <w:p>
      <w:pPr>
        <w:pStyle w:val="3"/>
        <w:ind w:firstLine="560"/>
        <w:rPr>
          <w:rFonts w:ascii="仿宋" w:hAnsi="仿宋" w:eastAsia="仿宋"/>
          <w:kern w:val="0"/>
        </w:rPr>
      </w:pPr>
      <w:r>
        <w:rPr>
          <w:rFonts w:ascii="仿宋" w:hAnsi="仿宋" w:eastAsia="仿宋"/>
          <w:kern w:val="0"/>
        </w:rPr>
        <w:t>6</w:t>
      </w:r>
      <w:r>
        <w:rPr>
          <w:rFonts w:hint="eastAsia" w:ascii="仿宋" w:hAnsi="仿宋" w:eastAsia="仿宋"/>
          <w:kern w:val="0"/>
        </w:rPr>
        <w:t>、乙方及其组织和实施项目工作的人员为履行本合同所产生的费用由乙方自行承担，甲方不另行承担费用。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jc w:val="left"/>
        <w:rPr>
          <w:rFonts w:ascii="仿宋" w:hAnsi="仿宋" w:eastAsia="仿宋" w:cs="宋体"/>
          <w:kern w:val="0"/>
          <w:sz w:val="28"/>
          <w:szCs w:val="28"/>
        </w:rPr>
      </w:pPr>
      <w:r>
        <w:rPr>
          <w:rFonts w:ascii="仿宋" w:hAnsi="仿宋" w:eastAsia="仿宋" w:cs="宋体"/>
          <w:kern w:val="0"/>
          <w:sz w:val="28"/>
          <w:szCs w:val="28"/>
        </w:rPr>
        <w:t>7</w:t>
      </w:r>
      <w:r>
        <w:rPr>
          <w:rFonts w:hint="eastAsia" w:ascii="仿宋" w:hAnsi="仿宋" w:eastAsia="仿宋" w:cs="宋体"/>
          <w:kern w:val="0"/>
          <w:sz w:val="28"/>
          <w:szCs w:val="28"/>
        </w:rPr>
        <w:t>、乙方</w:t>
      </w:r>
      <w:r>
        <w:rPr>
          <w:rFonts w:ascii="仿宋" w:hAnsi="仿宋" w:eastAsia="仿宋" w:cs="宋体"/>
          <w:kern w:val="0"/>
          <w:sz w:val="28"/>
          <w:szCs w:val="28"/>
        </w:rPr>
        <w:t>为甲方提供服务时，应严格遵守双方的有关规章制度</w:t>
      </w:r>
      <w:r>
        <w:rPr>
          <w:rFonts w:hint="eastAsia" w:ascii="仿宋" w:hAnsi="仿宋" w:eastAsia="仿宋" w:cs="宋体"/>
          <w:kern w:val="0"/>
          <w:sz w:val="28"/>
          <w:szCs w:val="28"/>
        </w:rPr>
        <w:t>。</w:t>
      </w:r>
      <w:r>
        <w:rPr>
          <w:rFonts w:ascii="仿宋" w:hAnsi="仿宋" w:eastAsia="仿宋" w:cs="宋体"/>
          <w:kern w:val="0"/>
          <w:sz w:val="28"/>
          <w:szCs w:val="28"/>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jc w:val="left"/>
        <w:rPr>
          <w:rFonts w:ascii="仿宋" w:hAnsi="仿宋" w:eastAsia="仿宋" w:cs="宋体"/>
          <w:color w:val="000000"/>
          <w:kern w:val="0"/>
          <w:sz w:val="28"/>
          <w:szCs w:val="28"/>
        </w:rPr>
      </w:pPr>
      <w:r>
        <w:rPr>
          <w:rFonts w:hint="eastAsia" w:ascii="仿宋" w:hAnsi="仿宋" w:eastAsia="仿宋" w:cs="宋体"/>
          <w:kern w:val="0"/>
          <w:sz w:val="28"/>
          <w:szCs w:val="28"/>
        </w:rPr>
        <w:t>8、</w:t>
      </w:r>
      <w:r>
        <w:rPr>
          <w:rFonts w:ascii="仿宋" w:hAnsi="仿宋" w:eastAsia="仿宋" w:cs="宋体"/>
          <w:kern w:val="0"/>
          <w:sz w:val="28"/>
          <w:szCs w:val="28"/>
        </w:rPr>
        <w:t>乙方在为甲方提供服务中，需保护甲方</w:t>
      </w:r>
      <w:r>
        <w:rPr>
          <w:rFonts w:hint="eastAsia" w:ascii="仿宋" w:hAnsi="仿宋" w:eastAsia="仿宋" w:cs="宋体"/>
          <w:kern w:val="0"/>
          <w:sz w:val="28"/>
          <w:szCs w:val="28"/>
        </w:rPr>
        <w:t>的</w:t>
      </w:r>
      <w:r>
        <w:rPr>
          <w:rFonts w:ascii="仿宋" w:hAnsi="仿宋" w:eastAsia="仿宋" w:cs="宋体"/>
          <w:kern w:val="0"/>
          <w:sz w:val="28"/>
          <w:szCs w:val="28"/>
        </w:rPr>
        <w:t>各种设施设备</w:t>
      </w:r>
      <w:r>
        <w:rPr>
          <w:rFonts w:hint="eastAsia" w:ascii="仿宋" w:hAnsi="仿宋" w:eastAsia="仿宋" w:cs="宋体"/>
          <w:kern w:val="0"/>
          <w:sz w:val="28"/>
          <w:szCs w:val="28"/>
        </w:rPr>
        <w:t>、</w:t>
      </w:r>
      <w:r>
        <w:rPr>
          <w:rFonts w:ascii="仿宋" w:hAnsi="仿宋" w:eastAsia="仿宋" w:cs="宋体"/>
          <w:kern w:val="0"/>
          <w:sz w:val="28"/>
          <w:szCs w:val="28"/>
        </w:rPr>
        <w:t>建筑</w:t>
      </w:r>
      <w:r>
        <w:rPr>
          <w:rFonts w:ascii="仿宋" w:hAnsi="仿宋" w:eastAsia="仿宋" w:cs="宋体"/>
          <w:color w:val="000000"/>
          <w:kern w:val="0"/>
          <w:sz w:val="28"/>
          <w:szCs w:val="28"/>
        </w:rPr>
        <w:t>物的完好无损</w:t>
      </w:r>
      <w:r>
        <w:rPr>
          <w:rFonts w:hint="eastAsia" w:ascii="仿宋" w:hAnsi="仿宋" w:eastAsia="仿宋" w:cs="宋体"/>
          <w:color w:val="000000"/>
          <w:kern w:val="0"/>
          <w:sz w:val="28"/>
          <w:szCs w:val="28"/>
        </w:rPr>
        <w:t>。</w:t>
      </w:r>
      <w:r>
        <w:rPr>
          <w:rFonts w:ascii="仿宋" w:hAnsi="仿宋" w:eastAsia="仿宋" w:cs="宋体"/>
          <w:color w:val="000000"/>
          <w:kern w:val="0"/>
          <w:sz w:val="28"/>
          <w:szCs w:val="28"/>
        </w:rPr>
        <w:t>乙方</w:t>
      </w:r>
      <w:r>
        <w:rPr>
          <w:rFonts w:hint="eastAsia" w:ascii="仿宋" w:hAnsi="仿宋" w:eastAsia="仿宋" w:cs="宋体"/>
          <w:color w:val="000000"/>
          <w:kern w:val="0"/>
          <w:sz w:val="28"/>
          <w:szCs w:val="28"/>
        </w:rPr>
        <w:t>工作人员</w:t>
      </w:r>
      <w:r>
        <w:rPr>
          <w:rFonts w:ascii="仿宋" w:hAnsi="仿宋" w:eastAsia="仿宋" w:cs="宋体"/>
          <w:color w:val="000000"/>
          <w:kern w:val="0"/>
          <w:sz w:val="28"/>
          <w:szCs w:val="28"/>
        </w:rPr>
        <w:t>因严重违反有关规定造成的一切损失，由乙方承担</w:t>
      </w:r>
      <w:r>
        <w:rPr>
          <w:rFonts w:hint="eastAsia" w:ascii="仿宋" w:hAnsi="仿宋" w:eastAsia="仿宋" w:cs="宋体"/>
          <w:color w:val="000000"/>
          <w:kern w:val="0"/>
          <w:sz w:val="28"/>
          <w:szCs w:val="28"/>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jc w:val="left"/>
        <w:rPr>
          <w:rFonts w:ascii="仿宋" w:hAnsi="仿宋" w:eastAsia="仿宋" w:cs="宋体"/>
          <w:kern w:val="0"/>
          <w:sz w:val="28"/>
          <w:szCs w:val="28"/>
        </w:rPr>
      </w:pPr>
      <w:r>
        <w:rPr>
          <w:rFonts w:ascii="仿宋" w:hAnsi="仿宋" w:eastAsia="仿宋" w:cs="宋体"/>
          <w:kern w:val="0"/>
          <w:sz w:val="28"/>
          <w:szCs w:val="28"/>
        </w:rPr>
        <w:t>9</w:t>
      </w:r>
      <w:r>
        <w:rPr>
          <w:rFonts w:hint="eastAsia" w:ascii="仿宋" w:hAnsi="仿宋" w:eastAsia="仿宋" w:cs="宋体"/>
          <w:kern w:val="0"/>
          <w:sz w:val="28"/>
          <w:szCs w:val="28"/>
        </w:rPr>
        <w:t>、乙方人员对因测试工作需要而接触到的甲方机密信息或暂时未公开的信息负有保密义务。</w:t>
      </w:r>
    </w:p>
    <w:p>
      <w:pPr>
        <w:pStyle w:val="3"/>
        <w:ind w:firstLine="560"/>
        <w:rPr>
          <w:highlight w:val="yellow"/>
        </w:rPr>
      </w:pPr>
      <w:r>
        <w:rPr>
          <w:rFonts w:ascii="仿宋" w:hAnsi="仿宋" w:eastAsia="仿宋"/>
          <w:color w:val="000000"/>
          <w:kern w:val="0"/>
        </w:rPr>
        <w:t>10</w:t>
      </w:r>
      <w:r>
        <w:rPr>
          <w:rFonts w:hint="eastAsia" w:ascii="仿宋" w:hAnsi="仿宋" w:eastAsia="仿宋"/>
          <w:color w:val="000000"/>
          <w:kern w:val="0"/>
        </w:rPr>
        <w:t>、乙方保证不擅自将甲方提供的纸质及电子文档复制给其他单位或个人。</w:t>
      </w:r>
    </w:p>
    <w:p>
      <w:pPr>
        <w:outlineLvl w:val="0"/>
        <w:rPr>
          <w:rFonts w:ascii="仿宋" w:hAnsi="仿宋" w:eastAsia="仿宋"/>
          <w:b/>
          <w:sz w:val="28"/>
          <w:szCs w:val="28"/>
        </w:rPr>
      </w:pPr>
      <w:bookmarkStart w:id="66" w:name="_Toc279863418"/>
      <w:r>
        <w:rPr>
          <w:rFonts w:hint="eastAsia" w:ascii="仿宋" w:hAnsi="仿宋" w:eastAsia="仿宋"/>
          <w:b/>
          <w:sz w:val="28"/>
          <w:szCs w:val="28"/>
        </w:rPr>
        <w:t>五、验收</w:t>
      </w:r>
    </w:p>
    <w:p>
      <w:pPr>
        <w:pStyle w:val="3"/>
        <w:ind w:firstLine="560"/>
        <w:rPr>
          <w:rFonts w:ascii="仿宋" w:hAnsi="仿宋" w:eastAsia="仿宋"/>
          <w:kern w:val="0"/>
        </w:rPr>
      </w:pPr>
      <w:r>
        <w:rPr>
          <w:rFonts w:hint="eastAsia" w:ascii="仿宋" w:hAnsi="仿宋" w:eastAsia="仿宋"/>
          <w:kern w:val="0"/>
        </w:rPr>
        <w:t>乙方在完成服务内容等工作后，甲方在7个工作日内对乙方的完成情况按照国家及行业相关标准、比选文件及投标文件规定对合同标的物进行验收，如验收达不到相关规定要求，视为该项目验收不合格，甲方有权立即终止合同。由此对甲方造成一定的损失，乙方应承担一切责任，并赔偿所造成的损失。</w:t>
      </w:r>
    </w:p>
    <w:p>
      <w:pPr>
        <w:outlineLvl w:val="0"/>
        <w:rPr>
          <w:rFonts w:ascii="仿宋" w:hAnsi="仿宋" w:eastAsia="仿宋"/>
          <w:b/>
          <w:sz w:val="28"/>
          <w:szCs w:val="28"/>
        </w:rPr>
      </w:pPr>
      <w:r>
        <w:rPr>
          <w:rFonts w:hint="eastAsia" w:ascii="仿宋" w:hAnsi="仿宋" w:eastAsia="仿宋"/>
          <w:b/>
          <w:sz w:val="28"/>
          <w:szCs w:val="28"/>
        </w:rPr>
        <w:t>六、知识产权及保密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jc w:val="left"/>
        <w:rPr>
          <w:rFonts w:ascii="仿宋" w:hAnsi="仿宋" w:eastAsia="仿宋" w:cs="宋体"/>
          <w:kern w:val="0"/>
          <w:sz w:val="28"/>
          <w:szCs w:val="28"/>
        </w:rPr>
      </w:pPr>
      <w:r>
        <w:rPr>
          <w:rFonts w:ascii="仿宋" w:hAnsi="仿宋" w:eastAsia="仿宋" w:cs="宋体"/>
          <w:kern w:val="0"/>
          <w:sz w:val="28"/>
          <w:szCs w:val="28"/>
        </w:rPr>
        <w:t>1</w:t>
      </w:r>
      <w:r>
        <w:rPr>
          <w:rFonts w:hint="eastAsia" w:ascii="仿宋" w:hAnsi="仿宋" w:eastAsia="仿宋" w:cs="宋体"/>
          <w:kern w:val="0"/>
          <w:sz w:val="28"/>
          <w:szCs w:val="28"/>
        </w:rPr>
        <w:t>、相关服务的成果和结论属甲方所有，乙方对其引用和公开应得到甲方的书面授权；</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jc w:val="left"/>
        <w:rPr>
          <w:rFonts w:ascii="仿宋" w:hAnsi="仿宋" w:eastAsia="仿宋" w:cs="宋体"/>
          <w:kern w:val="0"/>
          <w:sz w:val="28"/>
          <w:szCs w:val="28"/>
        </w:rPr>
      </w:pPr>
      <w:r>
        <w:rPr>
          <w:rFonts w:hint="eastAsia" w:ascii="仿宋" w:hAnsi="仿宋" w:eastAsia="仿宋" w:cs="宋体"/>
          <w:kern w:val="0"/>
          <w:sz w:val="28"/>
          <w:szCs w:val="28"/>
        </w:rPr>
        <w:t>2、甲方对乙方提供的注明保密的技术信息和资料负有保密责任，未经乙方同意不得提供给无关的任何第三方，国家有关机关、甲方的上级主管单位除外；</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jc w:val="left"/>
        <w:rPr>
          <w:rFonts w:ascii="仿宋" w:hAnsi="仿宋" w:eastAsia="仿宋" w:cs="宋体"/>
          <w:kern w:val="0"/>
          <w:sz w:val="28"/>
          <w:szCs w:val="28"/>
        </w:rPr>
      </w:pPr>
      <w:r>
        <w:rPr>
          <w:rFonts w:hint="eastAsia" w:ascii="仿宋" w:hAnsi="仿宋" w:eastAsia="仿宋" w:cs="宋体"/>
          <w:kern w:val="0"/>
          <w:sz w:val="28"/>
          <w:szCs w:val="28"/>
        </w:rPr>
        <w:t>3、乙方对从甲方获得的相关技术信息和技术资料（包括但不限于服务中涉及的技术信息和技术资料，以及有关会议文件和决定；甲、乙双方之间工作往来的传真、信函、电子邮件等；实施过程中产生的技术信息和技术资料；实施过程中各有关当事人拥有的知识产权，已经公开的知识产权信息除外；经甲、乙双方在实施过程中确认的需要保密的其他信息）负有保密责任，未经甲方同意不得提供给任何第三方，包括乙方的分支机构、子公司或委托顾问方、接受咨询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jc w:val="left"/>
        <w:rPr>
          <w:rFonts w:ascii="仿宋" w:hAnsi="仿宋" w:eastAsia="仿宋" w:cs="宋体"/>
          <w:kern w:val="0"/>
          <w:sz w:val="28"/>
          <w:szCs w:val="28"/>
        </w:rPr>
      </w:pPr>
      <w:r>
        <w:rPr>
          <w:rFonts w:hint="eastAsia" w:ascii="仿宋" w:hAnsi="仿宋" w:eastAsia="仿宋" w:cs="宋体"/>
          <w:kern w:val="0"/>
          <w:sz w:val="28"/>
          <w:szCs w:val="28"/>
        </w:rPr>
        <w:t>4、乙方为承担本合同约定的保密责任，应妥善保管有关的文件和资料，未经甲方事先的书面许可，不对其复制，仿造等。</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jc w:val="left"/>
        <w:rPr>
          <w:rFonts w:ascii="仿宋" w:hAnsi="仿宋" w:eastAsia="仿宋" w:cs="宋体"/>
          <w:kern w:val="0"/>
          <w:sz w:val="28"/>
          <w:szCs w:val="28"/>
        </w:rPr>
      </w:pPr>
      <w:r>
        <w:rPr>
          <w:rFonts w:hint="eastAsia" w:ascii="仿宋" w:hAnsi="仿宋" w:eastAsia="仿宋" w:cs="宋体"/>
          <w:kern w:val="0"/>
          <w:sz w:val="28"/>
          <w:szCs w:val="28"/>
        </w:rPr>
        <w:t>5、乙方无论是以何种形式和方式（直接或间接）从甲方获得保密信息，也不论这些信息是否标注为保密，乙方都应视之为保密信息。乙方如违反相关保密条款，乙方应向甲方承担违约责任，赔偿甲方的直接经济损失。</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jc w:val="left"/>
        <w:rPr>
          <w:rFonts w:ascii="仿宋" w:hAnsi="仿宋" w:eastAsia="仿宋" w:cs="宋体"/>
          <w:kern w:val="0"/>
          <w:sz w:val="28"/>
          <w:szCs w:val="28"/>
        </w:rPr>
      </w:pPr>
      <w:r>
        <w:rPr>
          <w:rFonts w:hint="eastAsia" w:ascii="仿宋" w:hAnsi="仿宋" w:eastAsia="仿宋" w:cs="宋体"/>
          <w:kern w:val="0"/>
          <w:sz w:val="28"/>
          <w:szCs w:val="28"/>
        </w:rPr>
        <w:t>6、甲、乙双方及驻场人员均应签署《保密协议》，对双方的保密责任和义务进行约定。</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jc w:val="left"/>
        <w:rPr>
          <w:rFonts w:ascii="仿宋" w:hAnsi="仿宋" w:eastAsia="仿宋" w:cs="宋体"/>
          <w:kern w:val="0"/>
          <w:sz w:val="28"/>
          <w:szCs w:val="28"/>
        </w:rPr>
      </w:pPr>
      <w:r>
        <w:rPr>
          <w:rFonts w:hint="eastAsia" w:ascii="仿宋" w:hAnsi="仿宋" w:eastAsia="仿宋" w:cs="宋体"/>
          <w:kern w:val="0"/>
          <w:sz w:val="28"/>
          <w:szCs w:val="28"/>
        </w:rPr>
        <w:t>7、甲乙双方必须采取相应的安全措施，遵守和履行上述保密约定。乙方违反上述保密约定，故意、过错或过失泄密的，除应立即采取措施停止泄密行为，减小泄密造成的损失外，还应向甲方支付合同总价10%的违约金，违约金不足以赔偿甲方损失的，则以甲方实际损失为准。同时，甲方还有权根据泄密造成损失的大小，单方解除本合同。</w:t>
      </w:r>
    </w:p>
    <w:p>
      <w:pPr>
        <w:outlineLvl w:val="0"/>
        <w:rPr>
          <w:rFonts w:ascii="仿宋" w:hAnsi="仿宋" w:eastAsia="仿宋"/>
          <w:b/>
          <w:sz w:val="28"/>
          <w:szCs w:val="28"/>
        </w:rPr>
      </w:pPr>
      <w:r>
        <w:rPr>
          <w:rFonts w:hint="eastAsia" w:ascii="仿宋" w:hAnsi="仿宋" w:eastAsia="仿宋"/>
          <w:b/>
          <w:sz w:val="28"/>
          <w:szCs w:val="28"/>
        </w:rPr>
        <w:t>七、</w:t>
      </w:r>
      <w:r>
        <w:rPr>
          <w:rFonts w:ascii="仿宋" w:hAnsi="仿宋" w:eastAsia="仿宋"/>
          <w:b/>
          <w:sz w:val="28"/>
          <w:szCs w:val="28"/>
        </w:rPr>
        <w:t>违约责任</w:t>
      </w:r>
      <w:bookmarkEnd w:id="66"/>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jc w:val="left"/>
        <w:rPr>
          <w:rFonts w:ascii="仿宋" w:hAnsi="仿宋" w:eastAsia="仿宋" w:cs="宋体"/>
          <w:kern w:val="0"/>
          <w:sz w:val="28"/>
          <w:szCs w:val="28"/>
        </w:rPr>
      </w:pPr>
      <w:r>
        <w:rPr>
          <w:rFonts w:ascii="仿宋" w:hAnsi="仿宋" w:eastAsia="仿宋" w:cs="宋体"/>
          <w:kern w:val="0"/>
          <w:sz w:val="28"/>
          <w:szCs w:val="28"/>
        </w:rPr>
        <w:t>1</w:t>
      </w:r>
      <w:r>
        <w:rPr>
          <w:rFonts w:hint="eastAsia" w:ascii="仿宋" w:hAnsi="仿宋" w:eastAsia="仿宋" w:cs="宋体"/>
          <w:kern w:val="0"/>
          <w:sz w:val="28"/>
          <w:szCs w:val="28"/>
        </w:rPr>
        <w:t>、因乙方不能按照本合同约定提供服务、履行义务的，</w:t>
      </w:r>
      <w:r>
        <w:rPr>
          <w:rFonts w:ascii="仿宋" w:hAnsi="仿宋" w:eastAsia="仿宋" w:cs="宋体"/>
          <w:kern w:val="0"/>
          <w:sz w:val="28"/>
          <w:szCs w:val="28"/>
        </w:rPr>
        <w:t>甲方有权要求乙方在一定期限内解决，逾期未解决属乙方严重违约，甲方有权解除本合同。因此给甲方造成经济损失的，乙方应给予甲方经济赔偿</w:t>
      </w:r>
      <w:r>
        <w:rPr>
          <w:rFonts w:hint="eastAsia" w:ascii="仿宋" w:hAnsi="仿宋" w:eastAsia="仿宋" w:cs="宋体"/>
          <w:kern w:val="0"/>
          <w:sz w:val="28"/>
          <w:szCs w:val="28"/>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jc w:val="left"/>
        <w:rPr>
          <w:rFonts w:ascii="仿宋" w:hAnsi="仿宋" w:eastAsia="仿宋" w:cs="宋体"/>
          <w:kern w:val="0"/>
          <w:sz w:val="28"/>
          <w:szCs w:val="28"/>
        </w:rPr>
      </w:pPr>
      <w:r>
        <w:rPr>
          <w:rFonts w:hint="eastAsia" w:ascii="仿宋" w:hAnsi="仿宋" w:eastAsia="仿宋" w:cs="宋体"/>
          <w:kern w:val="0"/>
          <w:sz w:val="28"/>
          <w:szCs w:val="28"/>
        </w:rPr>
        <w:t>2、</w:t>
      </w:r>
      <w:r>
        <w:rPr>
          <w:rFonts w:ascii="仿宋" w:hAnsi="仿宋" w:eastAsia="仿宋" w:cs="宋体"/>
          <w:kern w:val="0"/>
          <w:sz w:val="28"/>
          <w:szCs w:val="28"/>
        </w:rPr>
        <w:t>因乙方工作人员原因给甲方所造成损失，乙方承担全责任</w:t>
      </w:r>
      <w:r>
        <w:rPr>
          <w:rFonts w:hint="eastAsia" w:ascii="仿宋" w:hAnsi="仿宋" w:eastAsia="仿宋" w:cs="宋体"/>
          <w:kern w:val="0"/>
          <w:sz w:val="28"/>
          <w:szCs w:val="28"/>
        </w:rPr>
        <w:t>。</w:t>
      </w:r>
    </w:p>
    <w:p>
      <w:pPr>
        <w:pStyle w:val="3"/>
        <w:ind w:firstLine="560"/>
        <w:rPr>
          <w:rFonts w:ascii="仿宋" w:hAnsi="仿宋" w:eastAsia="仿宋"/>
          <w:kern w:val="0"/>
        </w:rPr>
      </w:pPr>
      <w:r>
        <w:rPr>
          <w:rFonts w:hint="eastAsia" w:ascii="仿宋" w:hAnsi="仿宋" w:eastAsia="仿宋"/>
          <w:kern w:val="0"/>
        </w:rPr>
        <w:t>3、乙方在服务过程中，所产生的人身或财产安全和安全事故均由乙方承担，与甲方无关。给甲方人员或设备造成损害的乙方应当负赔偿责任。</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jc w:val="left"/>
        <w:rPr>
          <w:rFonts w:ascii="仿宋" w:hAnsi="仿宋" w:eastAsia="仿宋" w:cs="宋体"/>
          <w:kern w:val="0"/>
          <w:sz w:val="28"/>
          <w:szCs w:val="28"/>
        </w:rPr>
      </w:pPr>
      <w:r>
        <w:rPr>
          <w:rFonts w:hint="eastAsia" w:ascii="仿宋" w:hAnsi="仿宋" w:eastAsia="仿宋" w:cs="宋体"/>
          <w:kern w:val="0"/>
          <w:sz w:val="28"/>
          <w:szCs w:val="28"/>
        </w:rPr>
        <w:t>4、因乙方违反本合同的约定对甲方提供的机密信息、纸质及电子文档泄露给其他单位或个人，乙方应承担甲方全部损失及合同总额10%的违约金。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jc w:val="left"/>
        <w:rPr>
          <w:rFonts w:ascii="仿宋" w:hAnsi="仿宋" w:eastAsia="仿宋" w:cs="宋体"/>
          <w:kern w:val="0"/>
          <w:sz w:val="28"/>
          <w:szCs w:val="28"/>
        </w:rPr>
      </w:pPr>
      <w:r>
        <w:rPr>
          <w:rFonts w:hint="eastAsia" w:ascii="仿宋" w:hAnsi="仿宋" w:eastAsia="仿宋" w:cs="宋体"/>
          <w:kern w:val="0"/>
          <w:sz w:val="28"/>
          <w:szCs w:val="28"/>
        </w:rPr>
        <w:t>5、</w:t>
      </w:r>
      <w:r>
        <w:rPr>
          <w:rFonts w:ascii="仿宋" w:hAnsi="仿宋" w:eastAsia="仿宋" w:cs="宋体"/>
          <w:kern w:val="0"/>
          <w:sz w:val="28"/>
          <w:szCs w:val="28"/>
        </w:rPr>
        <w:t>本合同任何一方无正当理由提前解除合同的，应向对方支付违约金。违约金金额相当于</w:t>
      </w:r>
      <w:r>
        <w:rPr>
          <w:rFonts w:hint="eastAsia" w:ascii="仿宋" w:hAnsi="仿宋" w:eastAsia="仿宋" w:cs="宋体"/>
          <w:kern w:val="0"/>
          <w:sz w:val="28"/>
          <w:szCs w:val="28"/>
        </w:rPr>
        <w:t>合同总金额的</w:t>
      </w:r>
      <w:r>
        <w:rPr>
          <w:rFonts w:hint="eastAsia" w:ascii="仿宋" w:hAnsi="仿宋" w:eastAsia="仿宋" w:cs="宋体"/>
          <w:kern w:val="0"/>
          <w:sz w:val="28"/>
          <w:szCs w:val="28"/>
          <w:u w:val="single"/>
        </w:rPr>
        <w:t>10%</w:t>
      </w:r>
      <w:r>
        <w:rPr>
          <w:rFonts w:ascii="仿宋" w:hAnsi="仿宋" w:eastAsia="仿宋" w:cs="宋体"/>
          <w:kern w:val="0"/>
          <w:sz w:val="28"/>
          <w:szCs w:val="28"/>
        </w:rPr>
        <w:t>。由于解除本合同给对方造成的经济损失超过违约金的，违约方还应给予对方赔偿</w:t>
      </w:r>
      <w:r>
        <w:rPr>
          <w:rFonts w:hint="eastAsia" w:ascii="仿宋" w:hAnsi="仿宋" w:eastAsia="仿宋" w:cs="宋体"/>
          <w:kern w:val="0"/>
          <w:sz w:val="28"/>
          <w:szCs w:val="28"/>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jc w:val="left"/>
        <w:rPr>
          <w:rFonts w:ascii="仿宋" w:hAnsi="仿宋" w:eastAsia="仿宋" w:cs="宋体"/>
          <w:kern w:val="0"/>
          <w:sz w:val="28"/>
          <w:szCs w:val="28"/>
        </w:rPr>
      </w:pPr>
      <w:r>
        <w:rPr>
          <w:rFonts w:hint="eastAsia" w:ascii="仿宋" w:hAnsi="仿宋" w:eastAsia="仿宋" w:cs="宋体"/>
          <w:kern w:val="0"/>
          <w:sz w:val="28"/>
          <w:szCs w:val="28"/>
        </w:rPr>
        <w:t>6、因乙方原因造成设备损坏的，乙方应进行修理、更换并赔偿甲方因此造成的损失。</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jc w:val="left"/>
        <w:rPr>
          <w:rFonts w:ascii="仿宋" w:hAnsi="仿宋" w:eastAsia="仿宋" w:cs="宋体"/>
          <w:kern w:val="0"/>
          <w:sz w:val="28"/>
          <w:szCs w:val="28"/>
        </w:rPr>
      </w:pPr>
      <w:r>
        <w:rPr>
          <w:rFonts w:hint="eastAsia" w:ascii="仿宋" w:hAnsi="仿宋" w:eastAsia="仿宋" w:cs="宋体"/>
          <w:kern w:val="0"/>
          <w:sz w:val="28"/>
          <w:szCs w:val="28"/>
        </w:rPr>
        <w:t>7、</w:t>
      </w:r>
      <w:r>
        <w:rPr>
          <w:rFonts w:ascii="仿宋" w:hAnsi="仿宋" w:eastAsia="仿宋" w:cs="宋体"/>
          <w:kern w:val="0"/>
          <w:sz w:val="28"/>
          <w:szCs w:val="28"/>
        </w:rPr>
        <w:t>如因不可抗力导致双方无法履行本合同的，本合同终止</w:t>
      </w:r>
      <w:r>
        <w:rPr>
          <w:rFonts w:hint="eastAsia" w:ascii="仿宋" w:hAnsi="仿宋" w:eastAsia="仿宋" w:cs="宋体"/>
          <w:kern w:val="0"/>
          <w:sz w:val="28"/>
          <w:szCs w:val="28"/>
        </w:rPr>
        <w:t>，</w:t>
      </w:r>
      <w:r>
        <w:rPr>
          <w:rFonts w:ascii="仿宋" w:hAnsi="仿宋" w:eastAsia="仿宋" w:cs="宋体"/>
          <w:kern w:val="0"/>
          <w:sz w:val="28"/>
          <w:szCs w:val="28"/>
        </w:rPr>
        <w:t>双方均不承担违约责任</w:t>
      </w:r>
      <w:r>
        <w:rPr>
          <w:rFonts w:hint="eastAsia" w:ascii="仿宋" w:hAnsi="仿宋" w:eastAsia="仿宋" w:cs="宋体"/>
          <w:kern w:val="0"/>
          <w:sz w:val="28"/>
          <w:szCs w:val="28"/>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jc w:val="left"/>
        <w:rPr>
          <w:rFonts w:ascii="仿宋" w:hAnsi="仿宋" w:eastAsia="仿宋" w:cs="宋体"/>
          <w:kern w:val="0"/>
          <w:sz w:val="28"/>
          <w:szCs w:val="28"/>
        </w:rPr>
      </w:pPr>
      <w:r>
        <w:rPr>
          <w:rFonts w:ascii="仿宋" w:hAnsi="仿宋" w:eastAsia="仿宋" w:cs="宋体"/>
          <w:kern w:val="0"/>
          <w:sz w:val="28"/>
          <w:szCs w:val="28"/>
        </w:rPr>
        <w:t>8</w:t>
      </w:r>
      <w:r>
        <w:rPr>
          <w:rFonts w:hint="eastAsia" w:ascii="仿宋" w:hAnsi="仿宋" w:eastAsia="仿宋" w:cs="宋体"/>
          <w:kern w:val="0"/>
          <w:sz w:val="28"/>
          <w:szCs w:val="28"/>
        </w:rPr>
        <w:t>、</w:t>
      </w:r>
      <w:r>
        <w:rPr>
          <w:rFonts w:ascii="仿宋" w:hAnsi="仿宋" w:eastAsia="仿宋" w:cs="宋体"/>
          <w:kern w:val="0"/>
          <w:sz w:val="28"/>
          <w:szCs w:val="28"/>
        </w:rPr>
        <w:t>本合同的变更须经双方协商，并签署补充协议方为有效</w:t>
      </w:r>
      <w:r>
        <w:rPr>
          <w:rFonts w:hint="eastAsia" w:ascii="仿宋" w:hAnsi="仿宋" w:eastAsia="仿宋" w:cs="宋体"/>
          <w:kern w:val="0"/>
          <w:sz w:val="28"/>
          <w:szCs w:val="28"/>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jc w:val="left"/>
        <w:rPr>
          <w:rFonts w:ascii="仿宋" w:hAnsi="仿宋" w:eastAsia="仿宋" w:cs="宋体"/>
          <w:kern w:val="0"/>
          <w:sz w:val="28"/>
          <w:szCs w:val="28"/>
        </w:rPr>
      </w:pPr>
      <w:r>
        <w:rPr>
          <w:rFonts w:ascii="仿宋" w:hAnsi="仿宋" w:eastAsia="仿宋" w:cs="宋体"/>
          <w:kern w:val="0"/>
          <w:sz w:val="28"/>
          <w:szCs w:val="28"/>
        </w:rPr>
        <w:t>9</w:t>
      </w:r>
      <w:r>
        <w:rPr>
          <w:rFonts w:hint="eastAsia" w:ascii="仿宋" w:hAnsi="仿宋" w:eastAsia="仿宋" w:cs="宋体"/>
          <w:kern w:val="0"/>
          <w:sz w:val="28"/>
          <w:szCs w:val="28"/>
        </w:rPr>
        <w:t>、</w:t>
      </w:r>
      <w:r>
        <w:rPr>
          <w:rFonts w:ascii="仿宋" w:hAnsi="仿宋" w:eastAsia="仿宋" w:cs="宋体"/>
          <w:kern w:val="0"/>
          <w:sz w:val="28"/>
          <w:szCs w:val="28"/>
        </w:rPr>
        <w:t xml:space="preserve">本合同期限届满终止。 </w:t>
      </w:r>
    </w:p>
    <w:p>
      <w:pPr>
        <w:outlineLvl w:val="0"/>
        <w:rPr>
          <w:rFonts w:ascii="仿宋" w:hAnsi="仿宋" w:eastAsia="仿宋"/>
          <w:b/>
          <w:sz w:val="28"/>
          <w:szCs w:val="28"/>
        </w:rPr>
      </w:pPr>
      <w:r>
        <w:rPr>
          <w:rFonts w:hint="eastAsia" w:ascii="仿宋" w:hAnsi="仿宋" w:eastAsia="仿宋"/>
          <w:b/>
          <w:sz w:val="28"/>
          <w:szCs w:val="28"/>
        </w:rPr>
        <w:t>八、争议解决</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jc w:val="left"/>
        <w:rPr>
          <w:rFonts w:ascii="仿宋" w:hAnsi="仿宋" w:eastAsia="仿宋" w:cs="宋体"/>
          <w:kern w:val="0"/>
          <w:sz w:val="28"/>
          <w:szCs w:val="28"/>
        </w:rPr>
      </w:pPr>
      <w:r>
        <w:rPr>
          <w:rFonts w:hint="eastAsia" w:ascii="仿宋" w:hAnsi="仿宋" w:eastAsia="仿宋" w:cs="宋体"/>
          <w:kern w:val="0"/>
          <w:sz w:val="28"/>
          <w:szCs w:val="28"/>
        </w:rPr>
        <w:t>1、合同未尽事宜，按照《民法典》及中华人民共和国相关法律法规执行。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jc w:val="left"/>
        <w:rPr>
          <w:rFonts w:ascii="仿宋" w:hAnsi="仿宋" w:eastAsia="仿宋" w:cs="宋体"/>
          <w:kern w:val="0"/>
          <w:sz w:val="28"/>
          <w:szCs w:val="28"/>
        </w:rPr>
      </w:pPr>
      <w:r>
        <w:rPr>
          <w:rFonts w:hint="eastAsia" w:ascii="仿宋" w:hAnsi="仿宋" w:eastAsia="仿宋" w:cs="宋体"/>
          <w:kern w:val="0"/>
          <w:sz w:val="28"/>
          <w:szCs w:val="28"/>
        </w:rPr>
        <w:t>2．有关本合同产生的任何争议，双方应当协商解决，协商不成时，任何一方有权向甲方所在地的人民法院提起诉讼。</w:t>
      </w:r>
    </w:p>
    <w:p>
      <w:pPr>
        <w:outlineLvl w:val="0"/>
        <w:rPr>
          <w:rFonts w:ascii="仿宋" w:hAnsi="仿宋" w:eastAsia="仿宋"/>
          <w:b/>
          <w:sz w:val="28"/>
          <w:szCs w:val="28"/>
        </w:rPr>
      </w:pPr>
      <w:r>
        <w:rPr>
          <w:rFonts w:hint="eastAsia" w:ascii="仿宋" w:hAnsi="仿宋" w:eastAsia="仿宋"/>
          <w:b/>
          <w:sz w:val="28"/>
          <w:szCs w:val="28"/>
        </w:rPr>
        <w:t>九、合同的生效、变更和其它</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jc w:val="left"/>
        <w:rPr>
          <w:rFonts w:ascii="仿宋" w:hAnsi="仿宋" w:eastAsia="仿宋" w:cs="宋体"/>
          <w:kern w:val="0"/>
          <w:sz w:val="28"/>
          <w:szCs w:val="28"/>
        </w:rPr>
      </w:pPr>
      <w:r>
        <w:rPr>
          <w:rFonts w:hint="eastAsia" w:ascii="仿宋" w:hAnsi="仿宋" w:eastAsia="仿宋" w:cs="宋体"/>
          <w:kern w:val="0"/>
          <w:sz w:val="28"/>
          <w:szCs w:val="28"/>
        </w:rPr>
        <w:t>1、发生不可抗力情形，致使本合同的履行成为不必要或不可能的，可以解除本合同。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jc w:val="left"/>
        <w:rPr>
          <w:rFonts w:ascii="仿宋" w:hAnsi="仿宋" w:eastAsia="仿宋" w:cs="宋体"/>
          <w:kern w:val="0"/>
          <w:sz w:val="28"/>
          <w:szCs w:val="28"/>
        </w:rPr>
      </w:pPr>
      <w:r>
        <w:rPr>
          <w:rFonts w:hint="eastAsia" w:ascii="仿宋" w:hAnsi="仿宋" w:eastAsia="仿宋" w:cs="宋体"/>
          <w:kern w:val="0"/>
          <w:sz w:val="28"/>
          <w:szCs w:val="28"/>
        </w:rPr>
        <w:t>2、本合同在双方的责任、义务履行完毕后终止。</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jc w:val="left"/>
        <w:rPr>
          <w:rFonts w:ascii="仿宋" w:hAnsi="仿宋" w:eastAsia="仿宋" w:cs="宋体"/>
          <w:kern w:val="0"/>
          <w:sz w:val="28"/>
          <w:szCs w:val="28"/>
        </w:rPr>
      </w:pPr>
      <w:r>
        <w:rPr>
          <w:rFonts w:hint="eastAsia" w:ascii="仿宋" w:hAnsi="仿宋" w:eastAsia="仿宋" w:cs="宋体"/>
          <w:kern w:val="0"/>
          <w:sz w:val="28"/>
          <w:szCs w:val="28"/>
        </w:rPr>
        <w:t>3、本合同如有任何修改或补充，均应在双方协商一致的基础上由双方授权代表签署补充协议，并视作本合同不可分割的组成部分。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jc w:val="left"/>
        <w:rPr>
          <w:rFonts w:ascii="仿宋" w:hAnsi="仿宋" w:eastAsia="仿宋" w:cs="宋体"/>
          <w:kern w:val="0"/>
          <w:sz w:val="28"/>
          <w:szCs w:val="28"/>
        </w:rPr>
      </w:pPr>
      <w:r>
        <w:rPr>
          <w:rFonts w:hint="eastAsia" w:ascii="仿宋" w:hAnsi="仿宋" w:eastAsia="仿宋" w:cs="宋体"/>
          <w:kern w:val="0"/>
          <w:sz w:val="28"/>
          <w:szCs w:val="28"/>
        </w:rPr>
        <w:t>4、</w:t>
      </w:r>
      <w:r>
        <w:rPr>
          <w:rFonts w:ascii="仿宋" w:hAnsi="仿宋" w:eastAsia="仿宋" w:cs="宋体"/>
          <w:kern w:val="0"/>
          <w:sz w:val="28"/>
          <w:szCs w:val="28"/>
        </w:rPr>
        <w:t>与本合同有关的协议条款及附件，与本合同具有同等法律效力。</w:t>
      </w:r>
      <w:r>
        <w:rPr>
          <w:rFonts w:ascii="Calibri" w:hAnsi="Calibri" w:eastAsia="仿宋" w:cs="Calibri"/>
          <w:kern w:val="0"/>
          <w:sz w:val="28"/>
          <w:szCs w:val="28"/>
        </w:rPr>
        <w:t> </w:t>
      </w:r>
      <w:r>
        <w:rPr>
          <w:rFonts w:ascii="仿宋" w:hAnsi="仿宋" w:eastAsia="仿宋" w:cs="宋体"/>
          <w:kern w:val="0"/>
          <w:sz w:val="28"/>
          <w:szCs w:val="28"/>
        </w:rPr>
        <w:t>本合同</w:t>
      </w:r>
      <w:r>
        <w:rPr>
          <w:rFonts w:hint="eastAsia" w:ascii="仿宋" w:hAnsi="仿宋" w:eastAsia="仿宋"/>
          <w:sz w:val="28"/>
          <w:szCs w:val="30"/>
        </w:rPr>
        <w:t>自双方法定代表人或委托代理人签字并加盖公章之日起生效。</w:t>
      </w:r>
    </w:p>
    <w:p>
      <w:pPr>
        <w:ind w:firstLine="560"/>
        <w:rPr>
          <w:rFonts w:ascii="仿宋" w:hAnsi="仿宋" w:eastAsia="仿宋"/>
          <w:sz w:val="28"/>
          <w:szCs w:val="30"/>
        </w:rPr>
      </w:pPr>
      <w:r>
        <w:rPr>
          <w:rFonts w:hint="eastAsia" w:ascii="仿宋" w:hAnsi="仿宋" w:eastAsia="仿宋" w:cs="宋体"/>
          <w:kern w:val="0"/>
          <w:sz w:val="28"/>
          <w:szCs w:val="28"/>
        </w:rPr>
        <w:t>5、</w:t>
      </w:r>
      <w:r>
        <w:rPr>
          <w:rFonts w:ascii="仿宋" w:hAnsi="仿宋" w:eastAsia="仿宋" w:cs="宋体"/>
          <w:kern w:val="0"/>
          <w:sz w:val="28"/>
          <w:szCs w:val="28"/>
        </w:rPr>
        <w:t>本合同正本连同附件，</w:t>
      </w:r>
      <w:r>
        <w:rPr>
          <w:rFonts w:hint="eastAsia" w:ascii="仿宋" w:hAnsi="仿宋" w:eastAsia="仿宋"/>
          <w:sz w:val="28"/>
          <w:szCs w:val="30"/>
        </w:rPr>
        <w:t>一式肆份，甲方执贰份，乙方执贰份，具有同等法律效力。</w:t>
      </w:r>
    </w:p>
    <w:p>
      <w:pPr>
        <w:widowControl/>
        <w:tabs>
          <w:tab w:val="left" w:pos="916"/>
          <w:tab w:val="left" w:pos="1832"/>
          <w:tab w:val="left" w:pos="2748"/>
          <w:tab w:val="left" w:pos="3664"/>
          <w:tab w:val="left" w:pos="4580"/>
          <w:tab w:val="left" w:pos="522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仿宋" w:hAnsi="仿宋" w:eastAsia="仿宋" w:cs="宋体"/>
          <w:kern w:val="0"/>
          <w:sz w:val="28"/>
          <w:szCs w:val="28"/>
        </w:rPr>
      </w:pPr>
    </w:p>
    <w:p>
      <w:pPr>
        <w:tabs>
          <w:tab w:val="left" w:pos="5145"/>
          <w:tab w:val="left" w:pos="5460"/>
        </w:tabs>
        <w:rPr>
          <w:rFonts w:ascii="仿宋" w:hAnsi="仿宋" w:eastAsia="仿宋"/>
          <w:b/>
          <w:sz w:val="28"/>
          <w:szCs w:val="28"/>
        </w:rPr>
      </w:pPr>
      <w:r>
        <w:rPr>
          <w:rFonts w:hint="eastAsia" w:ascii="仿宋" w:hAnsi="仿宋" w:eastAsia="仿宋"/>
          <w:b/>
          <w:sz w:val="28"/>
          <w:szCs w:val="28"/>
        </w:rPr>
        <w:t>甲方：重庆国际投资咨询集团有限公司</w:t>
      </w:r>
      <w:r>
        <w:rPr>
          <w:rFonts w:ascii="仿宋" w:hAnsi="仿宋" w:eastAsia="仿宋"/>
          <w:b/>
          <w:sz w:val="28"/>
          <w:szCs w:val="28"/>
        </w:rPr>
        <w:t xml:space="preserve">     </w:t>
      </w:r>
      <w:r>
        <w:rPr>
          <w:rFonts w:hint="eastAsia" w:ascii="仿宋" w:hAnsi="仿宋" w:eastAsia="仿宋"/>
          <w:b/>
          <w:sz w:val="28"/>
          <w:szCs w:val="28"/>
        </w:rPr>
        <w:t>乙方：</w:t>
      </w:r>
    </w:p>
    <w:p>
      <w:pPr>
        <w:rPr>
          <w:rFonts w:ascii="仿宋" w:hAnsi="仿宋" w:eastAsia="仿宋"/>
          <w:b/>
          <w:sz w:val="28"/>
          <w:szCs w:val="28"/>
        </w:rPr>
      </w:pPr>
      <w:r>
        <w:rPr>
          <w:rFonts w:hint="eastAsia" w:ascii="仿宋" w:hAnsi="仿宋" w:eastAsia="仿宋"/>
          <w:b/>
          <w:sz w:val="28"/>
          <w:szCs w:val="28"/>
        </w:rPr>
        <w:t xml:space="preserve">委托代理人：                      </w:t>
      </w:r>
      <w:r>
        <w:rPr>
          <w:rFonts w:ascii="仿宋" w:hAnsi="仿宋" w:eastAsia="仿宋"/>
          <w:b/>
          <w:sz w:val="28"/>
          <w:szCs w:val="28"/>
        </w:rPr>
        <w:t xml:space="preserve">     </w:t>
      </w:r>
      <w:r>
        <w:rPr>
          <w:rFonts w:hint="eastAsia" w:ascii="仿宋" w:hAnsi="仿宋" w:eastAsia="仿宋"/>
          <w:b/>
          <w:sz w:val="28"/>
          <w:szCs w:val="28"/>
        </w:rPr>
        <w:t xml:space="preserve">委托代理人： </w:t>
      </w:r>
    </w:p>
    <w:p>
      <w:pPr>
        <w:rPr>
          <w:rFonts w:ascii="仿宋" w:hAnsi="仿宋" w:eastAsia="仿宋" w:cs="宋体"/>
          <w:kern w:val="0"/>
          <w:sz w:val="28"/>
          <w:szCs w:val="28"/>
        </w:rPr>
      </w:pPr>
      <w:r>
        <w:rPr>
          <w:rFonts w:hint="eastAsia" w:ascii="仿宋" w:hAnsi="仿宋" w:eastAsia="仿宋"/>
          <w:b/>
          <w:sz w:val="28"/>
          <w:szCs w:val="28"/>
        </w:rPr>
        <w:t xml:space="preserve">日  期：          </w:t>
      </w:r>
      <w:r>
        <w:rPr>
          <w:rFonts w:ascii="仿宋" w:hAnsi="仿宋" w:eastAsia="仿宋"/>
          <w:b/>
          <w:sz w:val="28"/>
          <w:szCs w:val="28"/>
        </w:rPr>
        <w:t xml:space="preserve">              </w:t>
      </w:r>
      <w:r>
        <w:rPr>
          <w:rFonts w:hint="eastAsia" w:ascii="仿宋" w:hAnsi="仿宋" w:eastAsia="仿宋"/>
          <w:b/>
          <w:sz w:val="28"/>
          <w:szCs w:val="28"/>
        </w:rPr>
        <w:t xml:space="preserve">  </w:t>
      </w:r>
      <w:r>
        <w:rPr>
          <w:rFonts w:ascii="仿宋" w:hAnsi="仿宋" w:eastAsia="仿宋"/>
          <w:b/>
          <w:sz w:val="28"/>
          <w:szCs w:val="28"/>
        </w:rPr>
        <w:t xml:space="preserve">     </w:t>
      </w:r>
      <w:r>
        <w:rPr>
          <w:rFonts w:hint="eastAsia" w:ascii="仿宋" w:hAnsi="仿宋" w:eastAsia="仿宋"/>
          <w:b/>
          <w:sz w:val="28"/>
          <w:szCs w:val="28"/>
        </w:rPr>
        <w:t>日  期：</w:t>
      </w:r>
    </w:p>
    <w:p>
      <w:pPr>
        <w:spacing w:line="360" w:lineRule="auto"/>
        <w:ind w:firstLine="1040"/>
        <w:jc w:val="center"/>
        <w:rPr>
          <w:rFonts w:ascii="黑体" w:hAnsi="宋体" w:eastAsia="黑体"/>
          <w:sz w:val="52"/>
          <w:szCs w:val="52"/>
        </w:rPr>
      </w:pPr>
    </w:p>
    <w:p>
      <w:r>
        <w:rPr>
          <w:rFonts w:hint="eastAsia" w:ascii="宋体" w:hAnsi="宋体"/>
          <w:b/>
        </w:rPr>
        <w:t xml:space="preserve">                                                                                                         </w:t>
      </w:r>
    </w:p>
    <w:sectPr>
      <w:headerReference r:id="rId5" w:type="default"/>
      <w:footerReference r:id="rId6" w:type="default"/>
      <w:pgSz w:w="11906" w:h="16838"/>
      <w:pgMar w:top="1440" w:right="991" w:bottom="1440" w:left="1134" w:header="851" w:footer="992" w:gutter="0"/>
      <w:pgNumType w:start="37"/>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微软简仿宋">
    <w:altName w:val="仿宋"/>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jc w:val="both"/>
      <w:rPr>
        <w:rFonts w:ascii="方正仿宋_GBK" w:eastAsia="方正仿宋_GBK" w:cs="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45BFC4"/>
    <w:multiLevelType w:val="singleLevel"/>
    <w:tmpl w:val="D745BFC4"/>
    <w:lvl w:ilvl="0" w:tentative="0">
      <w:start w:val="1"/>
      <w:numFmt w:val="chineseCounting"/>
      <w:suff w:val="space"/>
      <w:lvlText w:val="第%1部分"/>
      <w:lvlJc w:val="left"/>
      <w:rPr>
        <w:rFonts w:hint="eastAsia"/>
      </w:rPr>
    </w:lvl>
  </w:abstractNum>
  <w:abstractNum w:abstractNumId="1">
    <w:nsid w:val="1A606CAD"/>
    <w:multiLevelType w:val="singleLevel"/>
    <w:tmpl w:val="1A606CAD"/>
    <w:lvl w:ilvl="0" w:tentative="0">
      <w:start w:val="8"/>
      <w:numFmt w:val="chineseCounting"/>
      <w:suff w:val="nothing"/>
      <w:lvlText w:val="%1、"/>
      <w:lvlJc w:val="left"/>
      <w:rPr>
        <w:rFonts w:hint="eastAsia"/>
      </w:rPr>
    </w:lvl>
  </w:abstractNum>
  <w:abstractNum w:abstractNumId="2">
    <w:nsid w:val="334B2943"/>
    <w:multiLevelType w:val="singleLevel"/>
    <w:tmpl w:val="334B2943"/>
    <w:lvl w:ilvl="0" w:tentative="0">
      <w:start w:val="1"/>
      <w:numFmt w:val="decimal"/>
      <w:suff w:val="nothing"/>
      <w:lvlText w:val="%1、"/>
      <w:lvlJc w:val="left"/>
    </w:lvl>
  </w:abstractNum>
  <w:abstractNum w:abstractNumId="3">
    <w:nsid w:val="52BF2833"/>
    <w:multiLevelType w:val="multilevel"/>
    <w:tmpl w:val="52BF2833"/>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5FCF6285"/>
    <w:multiLevelType w:val="multilevel"/>
    <w:tmpl w:val="5FCF6285"/>
    <w:lvl w:ilvl="0" w:tentative="0">
      <w:start w:val="1"/>
      <w:numFmt w:val="chineseCountingThousand"/>
      <w:lvlText w:val="(%1)"/>
      <w:lvlJc w:val="left"/>
      <w:pPr>
        <w:ind w:left="0" w:firstLine="56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3NGIzYzMzYTVlMWMwMTU3ZGUxMjY0MzA0MzdiYjAifQ=="/>
  </w:docVars>
  <w:rsids>
    <w:rsidRoot w:val="71100B0B"/>
    <w:rsid w:val="00004CCF"/>
    <w:rsid w:val="000278FE"/>
    <w:rsid w:val="00092B14"/>
    <w:rsid w:val="000A0A7E"/>
    <w:rsid w:val="000A141D"/>
    <w:rsid w:val="000A5B2E"/>
    <w:rsid w:val="000B3C46"/>
    <w:rsid w:val="000E03C1"/>
    <w:rsid w:val="000F1F5A"/>
    <w:rsid w:val="000F69B8"/>
    <w:rsid w:val="000F74D1"/>
    <w:rsid w:val="00136608"/>
    <w:rsid w:val="00144170"/>
    <w:rsid w:val="00146440"/>
    <w:rsid w:val="0015710A"/>
    <w:rsid w:val="00175A1E"/>
    <w:rsid w:val="00181F7E"/>
    <w:rsid w:val="001837F1"/>
    <w:rsid w:val="001865DF"/>
    <w:rsid w:val="00195B6F"/>
    <w:rsid w:val="001960B2"/>
    <w:rsid w:val="001A14BA"/>
    <w:rsid w:val="001C4190"/>
    <w:rsid w:val="001D7140"/>
    <w:rsid w:val="001E1DC4"/>
    <w:rsid w:val="001E39D2"/>
    <w:rsid w:val="0020156B"/>
    <w:rsid w:val="0022167C"/>
    <w:rsid w:val="00233855"/>
    <w:rsid w:val="0024448E"/>
    <w:rsid w:val="002507C2"/>
    <w:rsid w:val="00252551"/>
    <w:rsid w:val="002574DC"/>
    <w:rsid w:val="0026795D"/>
    <w:rsid w:val="00277A9A"/>
    <w:rsid w:val="00295BB8"/>
    <w:rsid w:val="00296784"/>
    <w:rsid w:val="002A29A2"/>
    <w:rsid w:val="002B76C7"/>
    <w:rsid w:val="002C34C2"/>
    <w:rsid w:val="002D4D14"/>
    <w:rsid w:val="002D601E"/>
    <w:rsid w:val="002E4427"/>
    <w:rsid w:val="002F665E"/>
    <w:rsid w:val="002F7E88"/>
    <w:rsid w:val="0032152B"/>
    <w:rsid w:val="003225FA"/>
    <w:rsid w:val="00326BF0"/>
    <w:rsid w:val="0033421D"/>
    <w:rsid w:val="0034286D"/>
    <w:rsid w:val="00362505"/>
    <w:rsid w:val="003660E8"/>
    <w:rsid w:val="00372A4B"/>
    <w:rsid w:val="00386E6B"/>
    <w:rsid w:val="003940DE"/>
    <w:rsid w:val="003A40DA"/>
    <w:rsid w:val="003E1B7A"/>
    <w:rsid w:val="003E51BA"/>
    <w:rsid w:val="003F1BAF"/>
    <w:rsid w:val="003F4323"/>
    <w:rsid w:val="00415DB0"/>
    <w:rsid w:val="00417B71"/>
    <w:rsid w:val="004340BF"/>
    <w:rsid w:val="00437DEF"/>
    <w:rsid w:val="00437EE9"/>
    <w:rsid w:val="004A3180"/>
    <w:rsid w:val="004B2CE7"/>
    <w:rsid w:val="004E6295"/>
    <w:rsid w:val="004F0CC1"/>
    <w:rsid w:val="004F4A22"/>
    <w:rsid w:val="00502272"/>
    <w:rsid w:val="0050759E"/>
    <w:rsid w:val="00515DFE"/>
    <w:rsid w:val="005260E5"/>
    <w:rsid w:val="00543BE4"/>
    <w:rsid w:val="00573226"/>
    <w:rsid w:val="005805CF"/>
    <w:rsid w:val="00582A43"/>
    <w:rsid w:val="00586DB8"/>
    <w:rsid w:val="00595CD2"/>
    <w:rsid w:val="005966C8"/>
    <w:rsid w:val="005B2572"/>
    <w:rsid w:val="005B5868"/>
    <w:rsid w:val="005C3F9B"/>
    <w:rsid w:val="005C4015"/>
    <w:rsid w:val="005D17D7"/>
    <w:rsid w:val="005E7DDC"/>
    <w:rsid w:val="005E7F51"/>
    <w:rsid w:val="00610AA4"/>
    <w:rsid w:val="0061359F"/>
    <w:rsid w:val="00614F6E"/>
    <w:rsid w:val="006211AE"/>
    <w:rsid w:val="0062629A"/>
    <w:rsid w:val="00634916"/>
    <w:rsid w:val="006475FB"/>
    <w:rsid w:val="00650994"/>
    <w:rsid w:val="00684655"/>
    <w:rsid w:val="006A1747"/>
    <w:rsid w:val="006B4D01"/>
    <w:rsid w:val="006B4DA4"/>
    <w:rsid w:val="006C2C92"/>
    <w:rsid w:val="006C48F4"/>
    <w:rsid w:val="006D3220"/>
    <w:rsid w:val="006E47FB"/>
    <w:rsid w:val="006E763D"/>
    <w:rsid w:val="00704F92"/>
    <w:rsid w:val="00744E93"/>
    <w:rsid w:val="007457C0"/>
    <w:rsid w:val="007575D7"/>
    <w:rsid w:val="00774829"/>
    <w:rsid w:val="00786B63"/>
    <w:rsid w:val="0079315C"/>
    <w:rsid w:val="007A52CD"/>
    <w:rsid w:val="007C643D"/>
    <w:rsid w:val="008018D0"/>
    <w:rsid w:val="00833B21"/>
    <w:rsid w:val="00836791"/>
    <w:rsid w:val="008373AA"/>
    <w:rsid w:val="008377B6"/>
    <w:rsid w:val="0086016D"/>
    <w:rsid w:val="00870524"/>
    <w:rsid w:val="00870FDD"/>
    <w:rsid w:val="00873FE7"/>
    <w:rsid w:val="00884C2D"/>
    <w:rsid w:val="0088617E"/>
    <w:rsid w:val="008C1283"/>
    <w:rsid w:val="008D7D40"/>
    <w:rsid w:val="008E2A1A"/>
    <w:rsid w:val="008E5940"/>
    <w:rsid w:val="009079EC"/>
    <w:rsid w:val="00912644"/>
    <w:rsid w:val="009163D7"/>
    <w:rsid w:val="00921FCE"/>
    <w:rsid w:val="00924422"/>
    <w:rsid w:val="00932120"/>
    <w:rsid w:val="0094125A"/>
    <w:rsid w:val="009424AE"/>
    <w:rsid w:val="009572A6"/>
    <w:rsid w:val="009905E7"/>
    <w:rsid w:val="00992C9E"/>
    <w:rsid w:val="009A3ED4"/>
    <w:rsid w:val="009B40AA"/>
    <w:rsid w:val="009E0EE3"/>
    <w:rsid w:val="009E63E4"/>
    <w:rsid w:val="009F0B74"/>
    <w:rsid w:val="009F6642"/>
    <w:rsid w:val="009F6FBC"/>
    <w:rsid w:val="00A00D09"/>
    <w:rsid w:val="00A0775A"/>
    <w:rsid w:val="00A200C8"/>
    <w:rsid w:val="00A24B53"/>
    <w:rsid w:val="00A25302"/>
    <w:rsid w:val="00A3206D"/>
    <w:rsid w:val="00A43430"/>
    <w:rsid w:val="00A45592"/>
    <w:rsid w:val="00A4636D"/>
    <w:rsid w:val="00A57860"/>
    <w:rsid w:val="00A703C6"/>
    <w:rsid w:val="00A71ED7"/>
    <w:rsid w:val="00A74B58"/>
    <w:rsid w:val="00A81CF7"/>
    <w:rsid w:val="00A826FF"/>
    <w:rsid w:val="00A82DE7"/>
    <w:rsid w:val="00A925F4"/>
    <w:rsid w:val="00AA0AD2"/>
    <w:rsid w:val="00AA2C3E"/>
    <w:rsid w:val="00AB6058"/>
    <w:rsid w:val="00AC7934"/>
    <w:rsid w:val="00AE74BB"/>
    <w:rsid w:val="00AF224A"/>
    <w:rsid w:val="00B11C97"/>
    <w:rsid w:val="00B11D9F"/>
    <w:rsid w:val="00B21DB0"/>
    <w:rsid w:val="00B25EF3"/>
    <w:rsid w:val="00B57DDF"/>
    <w:rsid w:val="00B7044B"/>
    <w:rsid w:val="00B7587B"/>
    <w:rsid w:val="00B8291B"/>
    <w:rsid w:val="00B870DA"/>
    <w:rsid w:val="00BB04AB"/>
    <w:rsid w:val="00BB776B"/>
    <w:rsid w:val="00BB7CE6"/>
    <w:rsid w:val="00BC1E1D"/>
    <w:rsid w:val="00BC3948"/>
    <w:rsid w:val="00BD2037"/>
    <w:rsid w:val="00BE5C0F"/>
    <w:rsid w:val="00BF2744"/>
    <w:rsid w:val="00BF2936"/>
    <w:rsid w:val="00C03088"/>
    <w:rsid w:val="00C12CC0"/>
    <w:rsid w:val="00C443E3"/>
    <w:rsid w:val="00C53778"/>
    <w:rsid w:val="00C6445D"/>
    <w:rsid w:val="00C65A82"/>
    <w:rsid w:val="00C7121F"/>
    <w:rsid w:val="00C738B4"/>
    <w:rsid w:val="00C92A43"/>
    <w:rsid w:val="00CC5EAA"/>
    <w:rsid w:val="00CD1EC6"/>
    <w:rsid w:val="00CE0525"/>
    <w:rsid w:val="00CE0FAE"/>
    <w:rsid w:val="00CE2881"/>
    <w:rsid w:val="00D21D0A"/>
    <w:rsid w:val="00D46356"/>
    <w:rsid w:val="00D63158"/>
    <w:rsid w:val="00D675E1"/>
    <w:rsid w:val="00D70E88"/>
    <w:rsid w:val="00D71FB2"/>
    <w:rsid w:val="00D7765B"/>
    <w:rsid w:val="00D8006D"/>
    <w:rsid w:val="00D81D9D"/>
    <w:rsid w:val="00D9155D"/>
    <w:rsid w:val="00DB2AC0"/>
    <w:rsid w:val="00DC1E92"/>
    <w:rsid w:val="00DD1DC6"/>
    <w:rsid w:val="00DD5647"/>
    <w:rsid w:val="00DE770C"/>
    <w:rsid w:val="00E11F15"/>
    <w:rsid w:val="00E30E93"/>
    <w:rsid w:val="00E3185C"/>
    <w:rsid w:val="00E350EC"/>
    <w:rsid w:val="00E51E78"/>
    <w:rsid w:val="00E8329D"/>
    <w:rsid w:val="00EC05F9"/>
    <w:rsid w:val="00ED1B34"/>
    <w:rsid w:val="00ED744B"/>
    <w:rsid w:val="00EF344C"/>
    <w:rsid w:val="00F02930"/>
    <w:rsid w:val="00F042B5"/>
    <w:rsid w:val="00F04DEC"/>
    <w:rsid w:val="00F063F1"/>
    <w:rsid w:val="00F079B9"/>
    <w:rsid w:val="00F14A78"/>
    <w:rsid w:val="00F25E41"/>
    <w:rsid w:val="00F642B1"/>
    <w:rsid w:val="00F6732D"/>
    <w:rsid w:val="00F857FC"/>
    <w:rsid w:val="00F86536"/>
    <w:rsid w:val="00F86A77"/>
    <w:rsid w:val="00F9562F"/>
    <w:rsid w:val="00FB687F"/>
    <w:rsid w:val="00FC168D"/>
    <w:rsid w:val="012A6F94"/>
    <w:rsid w:val="046406BD"/>
    <w:rsid w:val="04EE36C6"/>
    <w:rsid w:val="04FA28E3"/>
    <w:rsid w:val="05014120"/>
    <w:rsid w:val="050E7090"/>
    <w:rsid w:val="058922E0"/>
    <w:rsid w:val="06164201"/>
    <w:rsid w:val="06C12B60"/>
    <w:rsid w:val="07785760"/>
    <w:rsid w:val="088210E3"/>
    <w:rsid w:val="088D63C2"/>
    <w:rsid w:val="08D57A2A"/>
    <w:rsid w:val="094A0C63"/>
    <w:rsid w:val="09561AEF"/>
    <w:rsid w:val="09B214F2"/>
    <w:rsid w:val="09B75260"/>
    <w:rsid w:val="09F568AC"/>
    <w:rsid w:val="0A1C3C96"/>
    <w:rsid w:val="0A5A4C96"/>
    <w:rsid w:val="0A7F062C"/>
    <w:rsid w:val="0ACC55E1"/>
    <w:rsid w:val="0C1F79B0"/>
    <w:rsid w:val="0D661447"/>
    <w:rsid w:val="0DCD1019"/>
    <w:rsid w:val="0EDB19CC"/>
    <w:rsid w:val="0F370B05"/>
    <w:rsid w:val="0F3952E9"/>
    <w:rsid w:val="0F730180"/>
    <w:rsid w:val="102D5E8E"/>
    <w:rsid w:val="104B066F"/>
    <w:rsid w:val="10B77A8D"/>
    <w:rsid w:val="11125D02"/>
    <w:rsid w:val="11A5302E"/>
    <w:rsid w:val="1207443F"/>
    <w:rsid w:val="121D322F"/>
    <w:rsid w:val="1279195B"/>
    <w:rsid w:val="12B66520"/>
    <w:rsid w:val="15770141"/>
    <w:rsid w:val="15907ABA"/>
    <w:rsid w:val="164567EC"/>
    <w:rsid w:val="16D71EDB"/>
    <w:rsid w:val="176D064A"/>
    <w:rsid w:val="17C6418D"/>
    <w:rsid w:val="17E466CC"/>
    <w:rsid w:val="182D493B"/>
    <w:rsid w:val="184C396E"/>
    <w:rsid w:val="1A7B1F72"/>
    <w:rsid w:val="1A7F4343"/>
    <w:rsid w:val="1AD5150D"/>
    <w:rsid w:val="1B251FF4"/>
    <w:rsid w:val="1B803130"/>
    <w:rsid w:val="1C1158C6"/>
    <w:rsid w:val="1C534DE0"/>
    <w:rsid w:val="1DED36A7"/>
    <w:rsid w:val="1E884DA9"/>
    <w:rsid w:val="1EC76CE7"/>
    <w:rsid w:val="1F376176"/>
    <w:rsid w:val="1FBC30AE"/>
    <w:rsid w:val="21C621F0"/>
    <w:rsid w:val="22AD4841"/>
    <w:rsid w:val="22B44A85"/>
    <w:rsid w:val="22EB6579"/>
    <w:rsid w:val="23902DE5"/>
    <w:rsid w:val="23957254"/>
    <w:rsid w:val="23DE4815"/>
    <w:rsid w:val="24055A18"/>
    <w:rsid w:val="25484AD6"/>
    <w:rsid w:val="25B4719C"/>
    <w:rsid w:val="26343165"/>
    <w:rsid w:val="27A03607"/>
    <w:rsid w:val="280B5577"/>
    <w:rsid w:val="284E528B"/>
    <w:rsid w:val="28577130"/>
    <w:rsid w:val="29C20CB7"/>
    <w:rsid w:val="2ABA66E2"/>
    <w:rsid w:val="2BCF0B6A"/>
    <w:rsid w:val="2D8C2BCE"/>
    <w:rsid w:val="2DA32E56"/>
    <w:rsid w:val="2DA729BC"/>
    <w:rsid w:val="2DEA65C2"/>
    <w:rsid w:val="2F3F6949"/>
    <w:rsid w:val="31C8770C"/>
    <w:rsid w:val="31E03171"/>
    <w:rsid w:val="31F03C25"/>
    <w:rsid w:val="330B0E2E"/>
    <w:rsid w:val="336D3922"/>
    <w:rsid w:val="33C7178B"/>
    <w:rsid w:val="341D290A"/>
    <w:rsid w:val="34450A23"/>
    <w:rsid w:val="34953C36"/>
    <w:rsid w:val="34A51617"/>
    <w:rsid w:val="34D72F2E"/>
    <w:rsid w:val="34EB5AAA"/>
    <w:rsid w:val="34F915EA"/>
    <w:rsid w:val="362B5B73"/>
    <w:rsid w:val="368921BF"/>
    <w:rsid w:val="370D7F1A"/>
    <w:rsid w:val="37B3604B"/>
    <w:rsid w:val="388F774F"/>
    <w:rsid w:val="38AA5930"/>
    <w:rsid w:val="392C67D2"/>
    <w:rsid w:val="395A59C0"/>
    <w:rsid w:val="396E2B93"/>
    <w:rsid w:val="39AC730D"/>
    <w:rsid w:val="39E430C3"/>
    <w:rsid w:val="3A235CFD"/>
    <w:rsid w:val="3A833EA9"/>
    <w:rsid w:val="3AE66A31"/>
    <w:rsid w:val="3B021931"/>
    <w:rsid w:val="3B62094D"/>
    <w:rsid w:val="3BC136BC"/>
    <w:rsid w:val="3BFE7A30"/>
    <w:rsid w:val="3C18233B"/>
    <w:rsid w:val="3C292AD9"/>
    <w:rsid w:val="3C822CFA"/>
    <w:rsid w:val="3CB01F2D"/>
    <w:rsid w:val="3CFE5DA8"/>
    <w:rsid w:val="3D747C3E"/>
    <w:rsid w:val="3EF94F1B"/>
    <w:rsid w:val="3F643F42"/>
    <w:rsid w:val="40D53322"/>
    <w:rsid w:val="4176473F"/>
    <w:rsid w:val="42AC3521"/>
    <w:rsid w:val="43187D6D"/>
    <w:rsid w:val="43BC5C20"/>
    <w:rsid w:val="44A655A0"/>
    <w:rsid w:val="44CC65D0"/>
    <w:rsid w:val="457F1EF2"/>
    <w:rsid w:val="4713141D"/>
    <w:rsid w:val="47205504"/>
    <w:rsid w:val="476D4662"/>
    <w:rsid w:val="477D5225"/>
    <w:rsid w:val="47F30BE5"/>
    <w:rsid w:val="4871131E"/>
    <w:rsid w:val="487601B6"/>
    <w:rsid w:val="48E561A4"/>
    <w:rsid w:val="49433804"/>
    <w:rsid w:val="4BEC00E2"/>
    <w:rsid w:val="4C451C3C"/>
    <w:rsid w:val="4CD43D45"/>
    <w:rsid w:val="4D195BA0"/>
    <w:rsid w:val="4D4815C2"/>
    <w:rsid w:val="4D657338"/>
    <w:rsid w:val="4E0338CF"/>
    <w:rsid w:val="4E6E59F1"/>
    <w:rsid w:val="4F7466D6"/>
    <w:rsid w:val="4FFD70F6"/>
    <w:rsid w:val="50BB1C63"/>
    <w:rsid w:val="50E3191F"/>
    <w:rsid w:val="51331C92"/>
    <w:rsid w:val="52525E98"/>
    <w:rsid w:val="534B171A"/>
    <w:rsid w:val="537A4347"/>
    <w:rsid w:val="543534D1"/>
    <w:rsid w:val="543C76F0"/>
    <w:rsid w:val="55834285"/>
    <w:rsid w:val="561A0231"/>
    <w:rsid w:val="5750309F"/>
    <w:rsid w:val="57BC12E3"/>
    <w:rsid w:val="58FA39F6"/>
    <w:rsid w:val="59A85CAD"/>
    <w:rsid w:val="5A2C46F1"/>
    <w:rsid w:val="5A982C41"/>
    <w:rsid w:val="5ABD593E"/>
    <w:rsid w:val="5B1F375F"/>
    <w:rsid w:val="5C4C26DD"/>
    <w:rsid w:val="5D63451C"/>
    <w:rsid w:val="5D965750"/>
    <w:rsid w:val="5DB21FF4"/>
    <w:rsid w:val="5E2330CF"/>
    <w:rsid w:val="5EEB4C16"/>
    <w:rsid w:val="5F286671"/>
    <w:rsid w:val="601E266E"/>
    <w:rsid w:val="60E45647"/>
    <w:rsid w:val="61751C80"/>
    <w:rsid w:val="62FE6A07"/>
    <w:rsid w:val="63050BB9"/>
    <w:rsid w:val="63696A2E"/>
    <w:rsid w:val="63B873EE"/>
    <w:rsid w:val="64072EA8"/>
    <w:rsid w:val="64535467"/>
    <w:rsid w:val="646A423F"/>
    <w:rsid w:val="64F535CA"/>
    <w:rsid w:val="650D10C7"/>
    <w:rsid w:val="659D04F7"/>
    <w:rsid w:val="66516764"/>
    <w:rsid w:val="685663DB"/>
    <w:rsid w:val="68A200EB"/>
    <w:rsid w:val="68D22E0A"/>
    <w:rsid w:val="68DD59E6"/>
    <w:rsid w:val="68ED2FAF"/>
    <w:rsid w:val="694412BF"/>
    <w:rsid w:val="6A2A6ABF"/>
    <w:rsid w:val="6BDC33EC"/>
    <w:rsid w:val="6C26230F"/>
    <w:rsid w:val="6C2D7F56"/>
    <w:rsid w:val="6D0B6E51"/>
    <w:rsid w:val="6D1E1611"/>
    <w:rsid w:val="6DBF92C6"/>
    <w:rsid w:val="6E302C0E"/>
    <w:rsid w:val="6E491C9E"/>
    <w:rsid w:val="6F582C0D"/>
    <w:rsid w:val="6F8A55DB"/>
    <w:rsid w:val="6F9C69ED"/>
    <w:rsid w:val="6FE868F7"/>
    <w:rsid w:val="6FFF2618"/>
    <w:rsid w:val="700165E7"/>
    <w:rsid w:val="7013414A"/>
    <w:rsid w:val="707E792B"/>
    <w:rsid w:val="71100B0B"/>
    <w:rsid w:val="72055C6C"/>
    <w:rsid w:val="7225310B"/>
    <w:rsid w:val="733E7825"/>
    <w:rsid w:val="73DF11EA"/>
    <w:rsid w:val="74215C4D"/>
    <w:rsid w:val="74CE1834"/>
    <w:rsid w:val="75095312"/>
    <w:rsid w:val="766B7B7A"/>
    <w:rsid w:val="785802B2"/>
    <w:rsid w:val="78AE3744"/>
    <w:rsid w:val="791636F4"/>
    <w:rsid w:val="79245DC8"/>
    <w:rsid w:val="793F3716"/>
    <w:rsid w:val="79902CB1"/>
    <w:rsid w:val="79F679A6"/>
    <w:rsid w:val="7A302388"/>
    <w:rsid w:val="7AC27647"/>
    <w:rsid w:val="7BB9446E"/>
    <w:rsid w:val="7C657C92"/>
    <w:rsid w:val="7C750F13"/>
    <w:rsid w:val="7C852788"/>
    <w:rsid w:val="7CC77B1B"/>
    <w:rsid w:val="7D0A7D18"/>
    <w:rsid w:val="7D366B97"/>
    <w:rsid w:val="7DF424B5"/>
    <w:rsid w:val="7E0F55CA"/>
    <w:rsid w:val="7E8A2C3D"/>
    <w:rsid w:val="7EE566FE"/>
    <w:rsid w:val="7EEE59F8"/>
    <w:rsid w:val="7FB7585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 w:semiHidden="0" w:name="heading 2"/>
    <w:lsdException w:qFormat="1" w:unhideWhenUsed="0" w:uiPriority="99" w:semiHidden="0" w:name="heading 3"/>
    <w:lsdException w:qFormat="1" w:unhideWhenUsed="0" w:uiPriority="99" w:semiHidden="0" w:name="heading 4" w:locked="1"/>
    <w:lsdException w:qFormat="1" w:unhideWhenUsed="0" w:uiPriority="99" w:semiHidden="0" w:name="heading 5" w:locked="1"/>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0" w:semiHidden="0" w:name="Normal Indent" w:locked="1"/>
    <w:lsdException w:uiPriority="99" w:name="footnote text" w:locked="1"/>
    <w:lsdException w:qFormat="1" w:uiPriority="99"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qFormat="1" w:unhideWhenUsed="0" w:uiPriority="0" w:semiHidden="0"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0" w:semiHidden="0" w:name="Body Text Indent 3" w:locked="1"/>
    <w:lsdException w:uiPriority="99" w:name="Block Text" w:locked="1"/>
    <w:lsdException w:qFormat="1" w:uiPriority="99" w:semiHidden="0" w:name="Hyperlink" w:locked="1"/>
    <w:lsdException w:qFormat="1" w:uiPriority="99" w:semiHidden="0" w:name="FollowedHyperlink" w:locked="1"/>
    <w:lsdException w:qFormat="1" w:unhideWhenUsed="0" w:uiPriority="22"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iPriority="99" w:semiHidden="0" w:name="Normal (Web)" w:locked="1"/>
    <w:lsdException w:qFormat="1" w:uiPriority="99" w:semiHidden="0" w:name="HTML Acronym" w:locked="1"/>
    <w:lsdException w:uiPriority="99" w:name="HTML Address" w:locked="1"/>
    <w:lsdException w:qFormat="1" w:uiPriority="99" w:semiHidden="0" w:name="HTML Cite" w:locked="1"/>
    <w:lsdException w:qFormat="1" w:uiPriority="99" w:semiHidden="0" w:name="HTML Code" w:locked="1"/>
    <w:lsdException w:qFormat="1" w:uiPriority="99" w:semiHidden="0" w:name="HTML Definition" w:locked="1"/>
    <w:lsdException w:qFormat="1" w:uiPriority="99" w:semiHidden="0" w:name="HTML Keyboard" w:locked="1"/>
    <w:lsdException w:qFormat="1" w:uiPriority="99" w:name="HTML Preformatted" w:locked="1"/>
    <w:lsdException w:qFormat="1" w:uiPriority="99" w:semiHidden="0" w:name="HTML Sample" w:locked="1"/>
    <w:lsdException w:qFormat="1" w:uiPriority="99" w:semiHidden="0" w:name="HTML Typewriter" w:locked="1"/>
    <w:lsdException w:qFormat="1" w:uiPriority="99" w:semiHidden="0" w:name="HTML Variable" w:locked="1"/>
    <w:lsdException w:qFormat="1" w:uiPriority="99" w:name="Normal Table"/>
    <w:lsdException w:qFormat="1" w:uiPriority="99" w:semiHidden="0"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semiHidden="0" w:name="Balloon Text" w:locked="1"/>
    <w:lsdException w:qFormat="1" w:unhideWhenUsed="0" w:uiPriority="3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43"/>
    <w:qFormat/>
    <w:locked/>
    <w:uiPriority w:val="99"/>
    <w:pPr>
      <w:keepNext/>
      <w:keepLines/>
      <w:spacing w:line="578" w:lineRule="auto"/>
      <w:outlineLvl w:val="0"/>
    </w:pPr>
    <w:rPr>
      <w:b/>
      <w:bCs/>
      <w:kern w:val="44"/>
      <w:sz w:val="44"/>
      <w:szCs w:val="44"/>
    </w:rPr>
  </w:style>
  <w:style w:type="paragraph" w:styleId="5">
    <w:name w:val="heading 2"/>
    <w:basedOn w:val="1"/>
    <w:next w:val="1"/>
    <w:qFormat/>
    <w:uiPriority w:val="9"/>
    <w:pPr>
      <w:autoSpaceDE w:val="0"/>
      <w:autoSpaceDN w:val="0"/>
      <w:adjustRightInd w:val="0"/>
      <w:snapToGrid w:val="0"/>
      <w:spacing w:beforeLines="50" w:afterLines="50" w:line="440" w:lineRule="exact"/>
      <w:jc w:val="left"/>
      <w:outlineLvl w:val="1"/>
    </w:pPr>
    <w:rPr>
      <w:rFonts w:ascii="Arial" w:hAnsi="Arial"/>
      <w:b/>
      <w:sz w:val="32"/>
      <w:szCs w:val="20"/>
    </w:rPr>
  </w:style>
  <w:style w:type="paragraph" w:styleId="6">
    <w:name w:val="heading 3"/>
    <w:basedOn w:val="1"/>
    <w:next w:val="1"/>
    <w:link w:val="44"/>
    <w:qFormat/>
    <w:uiPriority w:val="99"/>
    <w:pPr>
      <w:keepNext/>
      <w:keepLines/>
      <w:spacing w:line="413" w:lineRule="auto"/>
      <w:outlineLvl w:val="2"/>
    </w:pPr>
    <w:rPr>
      <w:b/>
      <w:bCs/>
      <w:sz w:val="32"/>
      <w:szCs w:val="32"/>
    </w:rPr>
  </w:style>
  <w:style w:type="paragraph" w:styleId="7">
    <w:name w:val="heading 4"/>
    <w:basedOn w:val="1"/>
    <w:next w:val="1"/>
    <w:link w:val="45"/>
    <w:qFormat/>
    <w:locked/>
    <w:uiPriority w:val="99"/>
    <w:pPr>
      <w:widowControl/>
      <w:spacing w:beforeAutospacing="1" w:afterAutospacing="1"/>
      <w:jc w:val="left"/>
      <w:outlineLvl w:val="3"/>
    </w:pPr>
    <w:rPr>
      <w:rFonts w:ascii="宋体" w:hAnsi="宋体" w:cs="宋体"/>
      <w:b/>
      <w:bCs/>
      <w:kern w:val="0"/>
      <w:sz w:val="24"/>
      <w:szCs w:val="24"/>
    </w:rPr>
  </w:style>
  <w:style w:type="paragraph" w:styleId="8">
    <w:name w:val="heading 5"/>
    <w:basedOn w:val="1"/>
    <w:next w:val="1"/>
    <w:link w:val="46"/>
    <w:qFormat/>
    <w:locked/>
    <w:uiPriority w:val="99"/>
    <w:pPr>
      <w:widowControl/>
      <w:spacing w:beforeAutospacing="1" w:afterAutospacing="1"/>
      <w:jc w:val="left"/>
      <w:outlineLvl w:val="4"/>
    </w:pPr>
    <w:rPr>
      <w:rFonts w:ascii="宋体" w:hAnsi="宋体" w:cs="宋体"/>
      <w:b/>
      <w:bCs/>
      <w:kern w:val="0"/>
      <w:sz w:val="20"/>
      <w:szCs w:val="20"/>
    </w:rPr>
  </w:style>
  <w:style w:type="character" w:default="1" w:styleId="9">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locked/>
    <w:uiPriority w:val="0"/>
    <w:pPr>
      <w:spacing w:line="360" w:lineRule="auto"/>
      <w:ind w:firstLine="420"/>
    </w:pPr>
    <w:rPr>
      <w:sz w:val="24"/>
    </w:rPr>
  </w:style>
  <w:style w:type="paragraph" w:styleId="3">
    <w:name w:val="Body Text"/>
    <w:basedOn w:val="1"/>
    <w:next w:val="1"/>
    <w:link w:val="47"/>
    <w:qFormat/>
    <w:uiPriority w:val="99"/>
    <w:rPr>
      <w:rFonts w:ascii="宋体" w:hAnsi="宋体" w:cs="宋体"/>
      <w:sz w:val="28"/>
      <w:szCs w:val="28"/>
    </w:rPr>
  </w:style>
  <w:style w:type="paragraph" w:styleId="11">
    <w:name w:val="Balloon Text"/>
    <w:basedOn w:val="1"/>
    <w:link w:val="57"/>
    <w:unhideWhenUsed/>
    <w:qFormat/>
    <w:locked/>
    <w:uiPriority w:val="99"/>
    <w:rPr>
      <w:sz w:val="18"/>
      <w:szCs w:val="18"/>
    </w:rPr>
  </w:style>
  <w:style w:type="paragraph" w:styleId="12">
    <w:name w:val="Body Text Indent"/>
    <w:basedOn w:val="1"/>
    <w:link w:val="48"/>
    <w:qFormat/>
    <w:uiPriority w:val="99"/>
    <w:pPr>
      <w:ind w:firstLine="568" w:firstLineChars="203"/>
    </w:pPr>
    <w:rPr>
      <w:rFonts w:ascii="宋体" w:hAnsi="宋体" w:cs="宋体"/>
      <w:sz w:val="28"/>
      <w:szCs w:val="28"/>
    </w:rPr>
  </w:style>
  <w:style w:type="paragraph" w:styleId="13">
    <w:name w:val="Body Text First Indent 2"/>
    <w:basedOn w:val="12"/>
    <w:qFormat/>
    <w:locked/>
    <w:uiPriority w:val="0"/>
    <w:pPr>
      <w:ind w:firstLine="420" w:firstLineChars="200"/>
    </w:pPr>
  </w:style>
  <w:style w:type="paragraph" w:styleId="14">
    <w:name w:val="Body Text Indent 2"/>
    <w:basedOn w:val="1"/>
    <w:link w:val="49"/>
    <w:qFormat/>
    <w:uiPriority w:val="99"/>
    <w:pPr>
      <w:spacing w:line="480" w:lineRule="auto"/>
      <w:ind w:left="420" w:leftChars="200"/>
    </w:pPr>
  </w:style>
  <w:style w:type="paragraph" w:styleId="15">
    <w:name w:val="Body Text Indent 3"/>
    <w:basedOn w:val="1"/>
    <w:qFormat/>
    <w:locked/>
    <w:uiPriority w:val="0"/>
    <w:pPr>
      <w:spacing w:after="120"/>
      <w:ind w:left="420" w:leftChars="200"/>
    </w:pPr>
    <w:rPr>
      <w:sz w:val="16"/>
    </w:rPr>
  </w:style>
  <w:style w:type="character" w:styleId="16">
    <w:name w:val="annotation reference"/>
    <w:basedOn w:val="9"/>
    <w:semiHidden/>
    <w:qFormat/>
    <w:uiPriority w:val="99"/>
    <w:rPr>
      <w:sz w:val="21"/>
      <w:szCs w:val="21"/>
    </w:rPr>
  </w:style>
  <w:style w:type="paragraph" w:styleId="17">
    <w:name w:val="annotation text"/>
    <w:basedOn w:val="1"/>
    <w:link w:val="58"/>
    <w:unhideWhenUsed/>
    <w:qFormat/>
    <w:locked/>
    <w:uiPriority w:val="99"/>
    <w:pPr>
      <w:jc w:val="left"/>
    </w:pPr>
  </w:style>
  <w:style w:type="paragraph" w:styleId="18">
    <w:name w:val="annotation subject"/>
    <w:basedOn w:val="17"/>
    <w:next w:val="17"/>
    <w:link w:val="59"/>
    <w:unhideWhenUsed/>
    <w:qFormat/>
    <w:locked/>
    <w:uiPriority w:val="99"/>
    <w:rPr>
      <w:b/>
      <w:bCs/>
    </w:rPr>
  </w:style>
  <w:style w:type="character" w:styleId="19">
    <w:name w:val="Emphasis"/>
    <w:basedOn w:val="9"/>
    <w:qFormat/>
    <w:uiPriority w:val="0"/>
    <w:rPr>
      <w:b/>
      <w:bCs/>
    </w:rPr>
  </w:style>
  <w:style w:type="character" w:styleId="20">
    <w:name w:val="FollowedHyperlink"/>
    <w:basedOn w:val="9"/>
    <w:unhideWhenUsed/>
    <w:qFormat/>
    <w:locked/>
    <w:uiPriority w:val="99"/>
    <w:rPr>
      <w:color w:val="800080"/>
      <w:u w:val="none"/>
    </w:rPr>
  </w:style>
  <w:style w:type="paragraph" w:styleId="21">
    <w:name w:val="footer"/>
    <w:basedOn w:val="1"/>
    <w:link w:val="50"/>
    <w:qFormat/>
    <w:uiPriority w:val="99"/>
    <w:pPr>
      <w:tabs>
        <w:tab w:val="center" w:pos="4153"/>
        <w:tab w:val="right" w:pos="8306"/>
      </w:tabs>
      <w:snapToGrid w:val="0"/>
      <w:jc w:val="left"/>
    </w:pPr>
    <w:rPr>
      <w:sz w:val="18"/>
      <w:szCs w:val="18"/>
    </w:rPr>
  </w:style>
  <w:style w:type="paragraph" w:styleId="22">
    <w:name w:val="header"/>
    <w:basedOn w:val="1"/>
    <w:link w:val="51"/>
    <w:qFormat/>
    <w:uiPriority w:val="99"/>
    <w:pPr>
      <w:pBdr>
        <w:bottom w:val="single" w:color="auto" w:sz="6" w:space="1"/>
      </w:pBdr>
      <w:tabs>
        <w:tab w:val="center" w:pos="4153"/>
        <w:tab w:val="right" w:pos="8306"/>
      </w:tabs>
      <w:snapToGrid w:val="0"/>
      <w:jc w:val="center"/>
    </w:pPr>
    <w:rPr>
      <w:sz w:val="18"/>
      <w:szCs w:val="18"/>
    </w:rPr>
  </w:style>
  <w:style w:type="character" w:styleId="23">
    <w:name w:val="HTML Acronym"/>
    <w:basedOn w:val="9"/>
    <w:unhideWhenUsed/>
    <w:qFormat/>
    <w:locked/>
    <w:uiPriority w:val="99"/>
  </w:style>
  <w:style w:type="character" w:styleId="24">
    <w:name w:val="HTML Cite"/>
    <w:basedOn w:val="9"/>
    <w:unhideWhenUsed/>
    <w:qFormat/>
    <w:locked/>
    <w:uiPriority w:val="99"/>
  </w:style>
  <w:style w:type="character" w:styleId="25">
    <w:name w:val="HTML Code"/>
    <w:basedOn w:val="9"/>
    <w:unhideWhenUsed/>
    <w:qFormat/>
    <w:locked/>
    <w:uiPriority w:val="99"/>
    <w:rPr>
      <w:rFonts w:hint="default" w:ascii="monospace" w:hAnsi="monospace" w:eastAsia="monospace" w:cs="monospace"/>
      <w:sz w:val="20"/>
    </w:rPr>
  </w:style>
  <w:style w:type="character" w:styleId="26">
    <w:name w:val="HTML Definition"/>
    <w:basedOn w:val="9"/>
    <w:unhideWhenUsed/>
    <w:qFormat/>
    <w:locked/>
    <w:uiPriority w:val="99"/>
  </w:style>
  <w:style w:type="character" w:styleId="27">
    <w:name w:val="HTML Keyboard"/>
    <w:basedOn w:val="9"/>
    <w:unhideWhenUsed/>
    <w:qFormat/>
    <w:locked/>
    <w:uiPriority w:val="99"/>
    <w:rPr>
      <w:rFonts w:ascii="monospace" w:hAnsi="monospace" w:eastAsia="monospace" w:cs="monospace"/>
      <w:sz w:val="20"/>
    </w:rPr>
  </w:style>
  <w:style w:type="paragraph" w:styleId="28">
    <w:name w:val="HTML Preformatted"/>
    <w:basedOn w:val="1"/>
    <w:semiHidden/>
    <w:unhideWhenUsed/>
    <w:qFormat/>
    <w:lock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character" w:styleId="29">
    <w:name w:val="HTML Sample"/>
    <w:basedOn w:val="9"/>
    <w:unhideWhenUsed/>
    <w:qFormat/>
    <w:locked/>
    <w:uiPriority w:val="99"/>
    <w:rPr>
      <w:rFonts w:hint="default" w:ascii="monospace" w:hAnsi="monospace" w:eastAsia="monospace" w:cs="monospace"/>
    </w:rPr>
  </w:style>
  <w:style w:type="character" w:styleId="30">
    <w:name w:val="HTML Typewriter"/>
    <w:basedOn w:val="9"/>
    <w:unhideWhenUsed/>
    <w:qFormat/>
    <w:locked/>
    <w:uiPriority w:val="99"/>
    <w:rPr>
      <w:rFonts w:hint="default" w:ascii="monospace" w:hAnsi="monospace" w:eastAsia="monospace" w:cs="monospace"/>
      <w:sz w:val="20"/>
    </w:rPr>
  </w:style>
  <w:style w:type="character" w:styleId="31">
    <w:name w:val="HTML Variable"/>
    <w:basedOn w:val="9"/>
    <w:unhideWhenUsed/>
    <w:qFormat/>
    <w:locked/>
    <w:uiPriority w:val="99"/>
  </w:style>
  <w:style w:type="character" w:styleId="32">
    <w:name w:val="Hyperlink"/>
    <w:basedOn w:val="9"/>
    <w:unhideWhenUsed/>
    <w:qFormat/>
    <w:locked/>
    <w:uiPriority w:val="99"/>
    <w:rPr>
      <w:color w:val="0000FF"/>
      <w:u w:val="none"/>
    </w:rPr>
  </w:style>
  <w:style w:type="paragraph" w:styleId="33">
    <w:name w:val="Normal (Web)"/>
    <w:basedOn w:val="1"/>
    <w:unhideWhenUsed/>
    <w:qFormat/>
    <w:locked/>
    <w:uiPriority w:val="99"/>
    <w:pPr>
      <w:widowControl/>
      <w:spacing w:before="100" w:beforeAutospacing="1" w:after="100" w:afterAutospacing="1"/>
      <w:jc w:val="left"/>
    </w:pPr>
    <w:rPr>
      <w:rFonts w:ascii="宋体" w:hAnsi="宋体" w:cs="宋体"/>
      <w:kern w:val="0"/>
      <w:sz w:val="24"/>
      <w:szCs w:val="24"/>
    </w:rPr>
  </w:style>
  <w:style w:type="paragraph" w:styleId="34">
    <w:name w:val="Normal Indent"/>
    <w:basedOn w:val="1"/>
    <w:unhideWhenUsed/>
    <w:qFormat/>
    <w:locked/>
    <w:uiPriority w:val="0"/>
    <w:pPr>
      <w:ind w:firstLine="420" w:firstLineChars="200"/>
    </w:pPr>
  </w:style>
  <w:style w:type="character" w:styleId="35">
    <w:name w:val="page number"/>
    <w:basedOn w:val="9"/>
    <w:qFormat/>
    <w:uiPriority w:val="99"/>
  </w:style>
  <w:style w:type="character" w:styleId="36">
    <w:name w:val="Strong"/>
    <w:basedOn w:val="9"/>
    <w:qFormat/>
    <w:uiPriority w:val="22"/>
    <w:rPr>
      <w:b/>
      <w:bCs/>
    </w:rPr>
  </w:style>
  <w:style w:type="table" w:styleId="37">
    <w:name w:val="Table Grid"/>
    <w:basedOn w:val="1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8">
    <w:name w:val="Title"/>
    <w:basedOn w:val="1"/>
    <w:next w:val="1"/>
    <w:link w:val="52"/>
    <w:qFormat/>
    <w:uiPriority w:val="99"/>
    <w:pPr>
      <w:widowControl/>
      <w:jc w:val="center"/>
    </w:pPr>
    <w:rPr>
      <w:kern w:val="0"/>
      <w:sz w:val="20"/>
      <w:szCs w:val="20"/>
      <w:u w:val="single"/>
      <w:lang w:eastAsia="en-US"/>
    </w:rPr>
  </w:style>
  <w:style w:type="paragraph" w:styleId="39">
    <w:name w:val="toc 1"/>
    <w:basedOn w:val="1"/>
    <w:next w:val="1"/>
    <w:qFormat/>
    <w:uiPriority w:val="39"/>
  </w:style>
  <w:style w:type="paragraph" w:styleId="40">
    <w:name w:val="toc 2"/>
    <w:basedOn w:val="1"/>
    <w:next w:val="1"/>
    <w:qFormat/>
    <w:uiPriority w:val="39"/>
    <w:pPr>
      <w:ind w:left="420" w:leftChars="200"/>
    </w:pPr>
  </w:style>
  <w:style w:type="paragraph" w:customStyle="1" w:styleId="41">
    <w:name w:val="Char Char3"/>
    <w:basedOn w:val="1"/>
    <w:qFormat/>
    <w:uiPriority w:val="0"/>
    <w:pPr>
      <w:widowControl/>
      <w:spacing w:after="160" w:line="240" w:lineRule="exact"/>
      <w:jc w:val="left"/>
    </w:pPr>
  </w:style>
  <w:style w:type="paragraph" w:customStyle="1" w:styleId="4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43">
    <w:name w:val="标题 1 字符"/>
    <w:basedOn w:val="9"/>
    <w:link w:val="4"/>
    <w:qFormat/>
    <w:locked/>
    <w:uiPriority w:val="99"/>
    <w:rPr>
      <w:rFonts w:ascii="Times New Roman" w:hAnsi="Times New Roman" w:cs="Times New Roman"/>
      <w:b/>
      <w:bCs/>
      <w:kern w:val="44"/>
      <w:sz w:val="44"/>
      <w:szCs w:val="44"/>
    </w:rPr>
  </w:style>
  <w:style w:type="character" w:customStyle="1" w:styleId="44">
    <w:name w:val="标题 3 字符"/>
    <w:basedOn w:val="9"/>
    <w:link w:val="6"/>
    <w:semiHidden/>
    <w:qFormat/>
    <w:locked/>
    <w:uiPriority w:val="99"/>
    <w:rPr>
      <w:rFonts w:ascii="Times New Roman" w:hAnsi="Times New Roman" w:cs="Times New Roman"/>
      <w:b/>
      <w:bCs/>
      <w:sz w:val="32"/>
      <w:szCs w:val="32"/>
    </w:rPr>
  </w:style>
  <w:style w:type="character" w:customStyle="1" w:styleId="45">
    <w:name w:val="标题 4 字符"/>
    <w:basedOn w:val="9"/>
    <w:link w:val="7"/>
    <w:semiHidden/>
    <w:qFormat/>
    <w:locked/>
    <w:uiPriority w:val="99"/>
    <w:rPr>
      <w:rFonts w:ascii="Cambria" w:hAnsi="Cambria" w:eastAsia="宋体" w:cs="Cambria"/>
      <w:b/>
      <w:bCs/>
      <w:sz w:val="28"/>
      <w:szCs w:val="28"/>
    </w:rPr>
  </w:style>
  <w:style w:type="character" w:customStyle="1" w:styleId="46">
    <w:name w:val="标题 5 字符"/>
    <w:basedOn w:val="9"/>
    <w:link w:val="8"/>
    <w:semiHidden/>
    <w:qFormat/>
    <w:locked/>
    <w:uiPriority w:val="99"/>
    <w:rPr>
      <w:rFonts w:ascii="Times New Roman" w:hAnsi="Times New Roman" w:cs="Times New Roman"/>
      <w:b/>
      <w:bCs/>
      <w:sz w:val="28"/>
      <w:szCs w:val="28"/>
    </w:rPr>
  </w:style>
  <w:style w:type="character" w:customStyle="1" w:styleId="47">
    <w:name w:val="正文文本 字符"/>
    <w:basedOn w:val="9"/>
    <w:link w:val="3"/>
    <w:semiHidden/>
    <w:qFormat/>
    <w:locked/>
    <w:uiPriority w:val="99"/>
    <w:rPr>
      <w:rFonts w:ascii="Times New Roman" w:hAnsi="Times New Roman" w:cs="Times New Roman"/>
      <w:sz w:val="21"/>
      <w:szCs w:val="21"/>
    </w:rPr>
  </w:style>
  <w:style w:type="character" w:customStyle="1" w:styleId="48">
    <w:name w:val="正文文本缩进 字符"/>
    <w:basedOn w:val="9"/>
    <w:link w:val="12"/>
    <w:semiHidden/>
    <w:qFormat/>
    <w:locked/>
    <w:uiPriority w:val="99"/>
    <w:rPr>
      <w:rFonts w:ascii="Times New Roman" w:hAnsi="Times New Roman" w:cs="Times New Roman"/>
      <w:sz w:val="21"/>
      <w:szCs w:val="21"/>
    </w:rPr>
  </w:style>
  <w:style w:type="character" w:customStyle="1" w:styleId="49">
    <w:name w:val="正文文本缩进 2 字符"/>
    <w:basedOn w:val="9"/>
    <w:link w:val="14"/>
    <w:semiHidden/>
    <w:qFormat/>
    <w:locked/>
    <w:uiPriority w:val="99"/>
    <w:rPr>
      <w:rFonts w:ascii="Times New Roman" w:hAnsi="Times New Roman" w:cs="Times New Roman"/>
      <w:sz w:val="21"/>
      <w:szCs w:val="21"/>
    </w:rPr>
  </w:style>
  <w:style w:type="character" w:customStyle="1" w:styleId="50">
    <w:name w:val="页脚 字符"/>
    <w:basedOn w:val="9"/>
    <w:link w:val="21"/>
    <w:qFormat/>
    <w:locked/>
    <w:uiPriority w:val="99"/>
    <w:rPr>
      <w:rFonts w:ascii="Times New Roman" w:hAnsi="Times New Roman" w:cs="Times New Roman"/>
      <w:sz w:val="18"/>
      <w:szCs w:val="18"/>
    </w:rPr>
  </w:style>
  <w:style w:type="character" w:customStyle="1" w:styleId="51">
    <w:name w:val="页眉 字符"/>
    <w:basedOn w:val="9"/>
    <w:link w:val="22"/>
    <w:semiHidden/>
    <w:qFormat/>
    <w:locked/>
    <w:uiPriority w:val="99"/>
    <w:rPr>
      <w:rFonts w:ascii="Times New Roman" w:hAnsi="Times New Roman" w:cs="Times New Roman"/>
      <w:sz w:val="18"/>
      <w:szCs w:val="18"/>
    </w:rPr>
  </w:style>
  <w:style w:type="character" w:customStyle="1" w:styleId="52">
    <w:name w:val="标题 字符"/>
    <w:basedOn w:val="9"/>
    <w:link w:val="38"/>
    <w:qFormat/>
    <w:locked/>
    <w:uiPriority w:val="99"/>
    <w:rPr>
      <w:rFonts w:ascii="Cambria" w:hAnsi="Cambria" w:cs="Cambria"/>
      <w:b/>
      <w:bCs/>
      <w:sz w:val="32"/>
      <w:szCs w:val="32"/>
    </w:rPr>
  </w:style>
  <w:style w:type="paragraph" w:customStyle="1" w:styleId="53">
    <w:name w:val="WPSOffice手动目录 1"/>
    <w:qFormat/>
    <w:uiPriority w:val="99"/>
    <w:rPr>
      <w:rFonts w:ascii="Times New Roman" w:hAnsi="Times New Roman" w:eastAsia="宋体" w:cs="Times New Roman"/>
      <w:lang w:val="en-US" w:eastAsia="zh-CN" w:bidi="ar-SA"/>
    </w:rPr>
  </w:style>
  <w:style w:type="paragraph" w:customStyle="1" w:styleId="54">
    <w:name w:val="附件标题-1"/>
    <w:basedOn w:val="1"/>
    <w:qFormat/>
    <w:uiPriority w:val="99"/>
    <w:pPr>
      <w:spacing w:beforeLines="50" w:afterLines="50"/>
      <w:jc w:val="center"/>
    </w:pPr>
    <w:rPr>
      <w:rFonts w:eastAsia="黑体"/>
      <w:sz w:val="32"/>
      <w:szCs w:val="32"/>
    </w:rPr>
  </w:style>
  <w:style w:type="paragraph" w:customStyle="1" w:styleId="55">
    <w:name w:val="TOC 标题1"/>
    <w:basedOn w:val="4"/>
    <w:next w:val="1"/>
    <w:qFormat/>
    <w:uiPriority w:val="99"/>
    <w:pPr>
      <w:widowControl/>
      <w:spacing w:before="480" w:line="276" w:lineRule="auto"/>
      <w:jc w:val="left"/>
      <w:outlineLvl w:val="9"/>
    </w:pPr>
    <w:rPr>
      <w:rFonts w:ascii="Cambria" w:hAnsi="Cambria" w:cs="Cambria"/>
      <w:color w:val="365F91"/>
      <w:kern w:val="0"/>
      <w:sz w:val="28"/>
      <w:szCs w:val="28"/>
    </w:rPr>
  </w:style>
  <w:style w:type="paragraph" w:customStyle="1" w:styleId="56">
    <w:name w:val="列出段落11"/>
    <w:basedOn w:val="1"/>
    <w:qFormat/>
    <w:uiPriority w:val="99"/>
    <w:pPr>
      <w:ind w:firstLine="420" w:firstLineChars="200"/>
    </w:pPr>
    <w:rPr>
      <w:sz w:val="28"/>
      <w:szCs w:val="28"/>
    </w:rPr>
  </w:style>
  <w:style w:type="character" w:customStyle="1" w:styleId="57">
    <w:name w:val="批注框文本 字符"/>
    <w:basedOn w:val="9"/>
    <w:link w:val="11"/>
    <w:semiHidden/>
    <w:qFormat/>
    <w:uiPriority w:val="99"/>
    <w:rPr>
      <w:kern w:val="2"/>
      <w:sz w:val="18"/>
      <w:szCs w:val="18"/>
    </w:rPr>
  </w:style>
  <w:style w:type="character" w:customStyle="1" w:styleId="58">
    <w:name w:val="批注文字 字符"/>
    <w:basedOn w:val="9"/>
    <w:link w:val="17"/>
    <w:qFormat/>
    <w:uiPriority w:val="99"/>
    <w:rPr>
      <w:kern w:val="2"/>
      <w:sz w:val="21"/>
      <w:szCs w:val="21"/>
    </w:rPr>
  </w:style>
  <w:style w:type="character" w:customStyle="1" w:styleId="59">
    <w:name w:val="批注主题 字符"/>
    <w:basedOn w:val="58"/>
    <w:link w:val="18"/>
    <w:semiHidden/>
    <w:qFormat/>
    <w:uiPriority w:val="99"/>
    <w:rPr>
      <w:b/>
      <w:bCs/>
      <w:kern w:val="2"/>
      <w:sz w:val="21"/>
      <w:szCs w:val="21"/>
    </w:rPr>
  </w:style>
  <w:style w:type="paragraph" w:customStyle="1" w:styleId="60">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61">
    <w:name w:val="choose-status"/>
    <w:basedOn w:val="9"/>
    <w:qFormat/>
    <w:uiPriority w:val="0"/>
    <w:rPr>
      <w:color w:val="1F85EC"/>
      <w:shd w:val="clear" w:color="auto" w:fill="FFFFFF"/>
    </w:rPr>
  </w:style>
  <w:style w:type="character" w:customStyle="1" w:styleId="62">
    <w:name w:val="movedownrow"/>
    <w:basedOn w:val="9"/>
    <w:qFormat/>
    <w:uiPriority w:val="0"/>
    <w:rPr>
      <w:color w:val="1F85EC"/>
    </w:rPr>
  </w:style>
  <w:style w:type="character" w:customStyle="1" w:styleId="63">
    <w:name w:val="drapbtn"/>
    <w:basedOn w:val="9"/>
    <w:qFormat/>
    <w:uiPriority w:val="0"/>
  </w:style>
  <w:style w:type="character" w:customStyle="1" w:styleId="64">
    <w:name w:val="layui-layer-tabnow"/>
    <w:basedOn w:val="9"/>
    <w:qFormat/>
    <w:uiPriority w:val="0"/>
    <w:rPr>
      <w:bdr w:val="single" w:color="CCCCCC" w:sz="6" w:space="0"/>
      <w:shd w:val="clear" w:color="auto" w:fill="FFFFFF"/>
    </w:rPr>
  </w:style>
  <w:style w:type="character" w:customStyle="1" w:styleId="65">
    <w:name w:val="pagechatarealistclose_box"/>
    <w:basedOn w:val="9"/>
    <w:qFormat/>
    <w:uiPriority w:val="0"/>
  </w:style>
  <w:style w:type="character" w:customStyle="1" w:styleId="66">
    <w:name w:val="pagechatarealistclose_box1"/>
    <w:basedOn w:val="9"/>
    <w:qFormat/>
    <w:uiPriority w:val="0"/>
  </w:style>
  <w:style w:type="character" w:customStyle="1" w:styleId="67">
    <w:name w:val="first-child"/>
    <w:basedOn w:val="9"/>
    <w:qFormat/>
    <w:uiPriority w:val="0"/>
  </w:style>
  <w:style w:type="character" w:customStyle="1" w:styleId="68">
    <w:name w:val="iconline2"/>
    <w:basedOn w:val="9"/>
    <w:qFormat/>
    <w:uiPriority w:val="0"/>
  </w:style>
  <w:style w:type="character" w:customStyle="1" w:styleId="69">
    <w:name w:val="cy"/>
    <w:basedOn w:val="9"/>
    <w:qFormat/>
    <w:uiPriority w:val="0"/>
  </w:style>
  <w:style w:type="character" w:customStyle="1" w:styleId="70">
    <w:name w:val="associateddata"/>
    <w:basedOn w:val="9"/>
    <w:qFormat/>
    <w:uiPriority w:val="0"/>
    <w:rPr>
      <w:shd w:val="clear" w:color="auto" w:fill="50A6F9"/>
    </w:rPr>
  </w:style>
  <w:style w:type="character" w:customStyle="1" w:styleId="71">
    <w:name w:val="w32"/>
    <w:basedOn w:val="9"/>
    <w:qFormat/>
    <w:uiPriority w:val="0"/>
  </w:style>
  <w:style w:type="character" w:customStyle="1" w:styleId="72">
    <w:name w:val="icontext3"/>
    <w:basedOn w:val="9"/>
    <w:qFormat/>
    <w:uiPriority w:val="0"/>
  </w:style>
  <w:style w:type="character" w:customStyle="1" w:styleId="73">
    <w:name w:val="after"/>
    <w:basedOn w:val="9"/>
    <w:qFormat/>
    <w:uiPriority w:val="0"/>
    <w:rPr>
      <w:sz w:val="0"/>
      <w:szCs w:val="0"/>
    </w:rPr>
  </w:style>
  <w:style w:type="character" w:customStyle="1" w:styleId="74">
    <w:name w:val="insertrow"/>
    <w:basedOn w:val="9"/>
    <w:qFormat/>
    <w:uiPriority w:val="0"/>
    <w:rPr>
      <w:color w:val="1F85EC"/>
    </w:rPr>
  </w:style>
  <w:style w:type="character" w:customStyle="1" w:styleId="75">
    <w:name w:val="copyrow"/>
    <w:basedOn w:val="9"/>
    <w:qFormat/>
    <w:uiPriority w:val="0"/>
    <w:rPr>
      <w:color w:val="1F85EC"/>
    </w:rPr>
  </w:style>
  <w:style w:type="character" w:customStyle="1" w:styleId="76">
    <w:name w:val="hilite"/>
    <w:basedOn w:val="9"/>
    <w:qFormat/>
    <w:uiPriority w:val="0"/>
    <w:rPr>
      <w:color w:val="FFFFFF"/>
      <w:shd w:val="clear" w:color="auto" w:fill="666666"/>
    </w:rPr>
  </w:style>
  <w:style w:type="character" w:customStyle="1" w:styleId="77">
    <w:name w:val="tmpztreemove_arrow"/>
    <w:basedOn w:val="9"/>
    <w:qFormat/>
    <w:uiPriority w:val="0"/>
  </w:style>
  <w:style w:type="character" w:customStyle="1" w:styleId="78">
    <w:name w:val="cdropleft"/>
    <w:basedOn w:val="9"/>
    <w:qFormat/>
    <w:uiPriority w:val="0"/>
  </w:style>
  <w:style w:type="character" w:customStyle="1" w:styleId="79">
    <w:name w:val="active8"/>
    <w:basedOn w:val="9"/>
    <w:qFormat/>
    <w:uiPriority w:val="0"/>
    <w:rPr>
      <w:color w:val="00FF00"/>
      <w:shd w:val="clear" w:color="auto" w:fill="111111"/>
    </w:rPr>
  </w:style>
  <w:style w:type="character" w:customStyle="1" w:styleId="80">
    <w:name w:val="active9"/>
    <w:basedOn w:val="9"/>
    <w:qFormat/>
    <w:uiPriority w:val="0"/>
    <w:rPr>
      <w:shd w:val="clear" w:color="auto" w:fill="EC3535"/>
    </w:rPr>
  </w:style>
  <w:style w:type="character" w:customStyle="1" w:styleId="81">
    <w:name w:val="cdropright"/>
    <w:basedOn w:val="9"/>
    <w:qFormat/>
    <w:uiPriority w:val="0"/>
  </w:style>
  <w:style w:type="character" w:customStyle="1" w:styleId="82">
    <w:name w:val="icontext2"/>
    <w:basedOn w:val="9"/>
    <w:qFormat/>
    <w:uiPriority w:val="0"/>
  </w:style>
  <w:style w:type="character" w:customStyle="1" w:styleId="83">
    <w:name w:val="ico1653"/>
    <w:basedOn w:val="9"/>
    <w:qFormat/>
    <w:uiPriority w:val="0"/>
  </w:style>
  <w:style w:type="character" w:customStyle="1" w:styleId="84">
    <w:name w:val="ico1654"/>
    <w:basedOn w:val="9"/>
    <w:qFormat/>
    <w:uiPriority w:val="0"/>
  </w:style>
  <w:style w:type="character" w:customStyle="1" w:styleId="85">
    <w:name w:val="icontext1"/>
    <w:basedOn w:val="9"/>
    <w:qFormat/>
    <w:uiPriority w:val="0"/>
  </w:style>
  <w:style w:type="character" w:customStyle="1" w:styleId="86">
    <w:name w:val="icontext11"/>
    <w:basedOn w:val="9"/>
    <w:qFormat/>
    <w:uiPriority w:val="0"/>
  </w:style>
  <w:style w:type="character" w:customStyle="1" w:styleId="87">
    <w:name w:val="icontext12"/>
    <w:basedOn w:val="9"/>
    <w:qFormat/>
    <w:uiPriority w:val="0"/>
  </w:style>
  <w:style w:type="character" w:customStyle="1" w:styleId="88">
    <w:name w:val="last-child"/>
    <w:basedOn w:val="9"/>
    <w:qFormat/>
    <w:uiPriority w:val="0"/>
  </w:style>
  <w:style w:type="character" w:customStyle="1" w:styleId="89">
    <w:name w:val="moveuprow"/>
    <w:basedOn w:val="9"/>
    <w:qFormat/>
    <w:uiPriority w:val="0"/>
    <w:rPr>
      <w:color w:val="1F85EC"/>
    </w:rPr>
  </w:style>
  <w:style w:type="character" w:customStyle="1" w:styleId="90">
    <w:name w:val="deleterow"/>
    <w:basedOn w:val="9"/>
    <w:qFormat/>
    <w:uiPriority w:val="0"/>
    <w:rPr>
      <w:color w:val="FF5E5E"/>
    </w:rPr>
  </w:style>
  <w:style w:type="character" w:customStyle="1" w:styleId="91">
    <w:name w:val="button4"/>
    <w:basedOn w:val="9"/>
    <w:qFormat/>
    <w:uiPriority w:val="0"/>
  </w:style>
  <w:style w:type="paragraph" w:customStyle="1" w:styleId="92">
    <w:name w:val="样式 正文缩进 + 首行缩进:  2.56 字符 段前: 0.6 行 段后: 0.6 行"/>
    <w:basedOn w:val="34"/>
    <w:qFormat/>
    <w:uiPriority w:val="0"/>
    <w:pPr>
      <w:adjustRightInd w:val="0"/>
      <w:spacing w:beforeLines="60" w:afterLines="60" w:line="300" w:lineRule="auto"/>
      <w:ind w:firstLine="0" w:firstLineChars="0"/>
      <w:textAlignment w:val="baseline"/>
    </w:pPr>
    <w:rPr>
      <w:rFonts w:ascii="微软简仿宋" w:hAnsi="宋体" w:eastAsia="楷体_GB2312" w:cs="宋体"/>
      <w:snapToGrid w:val="0"/>
      <w:sz w:val="20"/>
      <w:lang w:val="zh-CN"/>
    </w:rPr>
  </w:style>
  <w:style w:type="character" w:customStyle="1" w:styleId="93">
    <w:name w:val="active6"/>
    <w:qFormat/>
    <w:uiPriority w:val="0"/>
    <w:rPr>
      <w:color w:val="00FF00"/>
      <w:shd w:val="clear" w:color="auto" w:fill="111111"/>
    </w:rPr>
  </w:style>
  <w:style w:type="character" w:customStyle="1" w:styleId="94">
    <w:name w:val="active7"/>
    <w:qFormat/>
    <w:uiPriority w:val="0"/>
    <w:rPr>
      <w:shd w:val="clear" w:color="auto" w:fill="EC3535"/>
    </w:rPr>
  </w:style>
  <w:style w:type="character" w:customStyle="1" w:styleId="95">
    <w:name w:val="hilite6"/>
    <w:qFormat/>
    <w:uiPriority w:val="0"/>
    <w:rPr>
      <w:color w:val="FFFFFF"/>
      <w:shd w:val="clear" w:color="auto" w:fill="666666"/>
    </w:rPr>
  </w:style>
  <w:style w:type="character" w:customStyle="1" w:styleId="96">
    <w:name w:val="button"/>
    <w:qFormat/>
    <w:uiPriority w:val="0"/>
  </w:style>
  <w:style w:type="character" w:customStyle="1" w:styleId="97">
    <w:name w:val="ico1655"/>
    <w:qFormat/>
    <w:uiPriority w:val="0"/>
  </w:style>
  <w:style w:type="character" w:customStyle="1" w:styleId="98">
    <w:name w:val="iconline21"/>
    <w:qFormat/>
    <w:uiPriority w:val="0"/>
  </w:style>
  <w:style w:type="character" w:customStyle="1" w:styleId="99">
    <w:name w:val="active"/>
    <w:qFormat/>
    <w:uiPriority w:val="0"/>
    <w:rPr>
      <w:shd w:val="clear" w:color="auto" w:fill="EC3535"/>
    </w:rPr>
  </w:style>
  <w:style w:type="character" w:customStyle="1" w:styleId="100">
    <w:name w:val="active1"/>
    <w:qFormat/>
    <w:uiPriority w:val="0"/>
    <w:rPr>
      <w:color w:val="00FF00"/>
      <w:shd w:val="clear" w:color="auto" w:fill="111111"/>
    </w:rPr>
  </w:style>
  <w:style w:type="character" w:customStyle="1" w:styleId="101">
    <w:name w:val="hilite5"/>
    <w:qFormat/>
    <w:uiPriority w:val="0"/>
    <w:rPr>
      <w:color w:val="FFFFFF"/>
      <w:shd w:val="clear" w:color="auto" w:fill="666666"/>
    </w:rPr>
  </w:style>
  <w:style w:type="character" w:customStyle="1" w:styleId="102">
    <w:name w:val="ico1652"/>
    <w:qFormat/>
    <w:uiPriority w:val="0"/>
  </w:style>
  <w:style w:type="paragraph" w:styleId="103">
    <w:name w:val="List Paragraph"/>
    <w:basedOn w:val="1"/>
    <w:qFormat/>
    <w:uiPriority w:val="99"/>
    <w:pPr>
      <w:ind w:firstLine="420" w:firstLineChars="200"/>
    </w:pPr>
  </w:style>
  <w:style w:type="paragraph" w:customStyle="1" w:styleId="10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34</Pages>
  <Words>15991</Words>
  <Characters>16563</Characters>
  <Lines>128</Lines>
  <Paragraphs>36</Paragraphs>
  <TotalTime>197</TotalTime>
  <ScaleCrop>false</ScaleCrop>
  <LinksUpToDate>false</LinksUpToDate>
  <CharactersWithSpaces>17140</CharactersWithSpaces>
  <Application>WPS Office_11.8.2.12195_F1E327BC-269C-435d-A152-05C5408002CA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2024-03-12T05:36:00Z</dcterms:created>
  <dc:creator>Administrator</dc:creator>
  <cp:lastModifiedBy>NTKO</cp:lastModifiedBy>
  <cp:lastPrinted>2022-12-05T01:22:00Z</cp:lastPrinted>
  <dcterms:modified xsi:type="dcterms:W3CDTF">2024-03-28T02:37:56Z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   0-11.8.2.12195</vt:lpwstr>
  </property>
  <property fmtid="{D5CDD505-2E9C-101B-9397-08002B2CF9AE}" pid="3" name="ICV">
    <vt:lpwstr>498679E56C834961B67B67DC511CBF3A</vt:lpwstr>
  </property>
</Properties>
</file>